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color w:val="000000"/>
        </w:rPr>
      </w:pPr>
      <w:r>
        <w:rPr>
          <w:rFonts w:eastAsia="Calibri" w:cs="Times New Roman" w:ascii="Arial" w:hAnsi="Arial"/>
          <w:b/>
          <w:color w:val="000000"/>
          <w:sz w:val="20"/>
          <w:szCs w:val="22"/>
          <w:shd w:fill="auto" w:val="clear"/>
          <w:lang w:eastAsia="en-US"/>
        </w:rPr>
        <w:t>MODELO DE ATA DE REGISTRO DE PREÇOS</w:t>
      </w:r>
      <w:r>
        <w:rPr>
          <w:rFonts w:eastAsia="Calibri" w:cs="Arial" w:ascii="Arial" w:hAnsi="Arial"/>
          <w:b/>
          <w:bCs/>
          <w:color w:val="000000"/>
          <w:sz w:val="20"/>
          <w:szCs w:val="20"/>
          <w:shd w:fill="auto" w:val="clear"/>
          <w:lang w:eastAsia="en-US"/>
        </w:rPr>
        <w:t xml:space="preserve"> </w:t>
        <w:br/>
      </w:r>
      <w:r>
        <w:rPr>
          <w:rFonts w:eastAsia="Calibri" w:cs="Times New Roman" w:ascii="Arial" w:hAnsi="Arial"/>
          <w:b/>
          <w:color w:val="000000"/>
          <w:sz w:val="20"/>
          <w:szCs w:val="22"/>
          <w:shd w:fill="auto" w:val="clear"/>
          <w:lang w:eastAsia="en-US"/>
        </w:rPr>
        <w:t>Lei nº 14.133, de 1º de abril de 2021</w:t>
      </w:r>
    </w:p>
    <w:p>
      <w:pPr>
        <w:pStyle w:val="Normal"/>
        <w:jc w:val="center"/>
        <w:rPr>
          <w:color w:val="000000"/>
        </w:rPr>
      </w:pPr>
      <w:r>
        <w:rPr>
          <w:rFonts w:cs="Arial" w:ascii="Arial" w:hAnsi="Arial"/>
          <w:b/>
          <w:bCs/>
          <w:color w:val="000000"/>
          <w:sz w:val="18"/>
          <w:szCs w:val="18"/>
          <w:shd w:fill="auto" w:val="clear"/>
        </w:rPr>
        <w:t>MINISTÉRIO DA EDUCAÇÃO</w:t>
      </w:r>
    </w:p>
    <w:p>
      <w:pPr>
        <w:pStyle w:val="Normal"/>
        <w:jc w:val="center"/>
        <w:rPr>
          <w:color w:val="000000"/>
        </w:rPr>
      </w:pPr>
      <w:r>
        <w:rPr>
          <w:rFonts w:cs="Arial" w:ascii="Arial" w:hAnsi="Arial"/>
          <w:b/>
          <w:bCs/>
          <w:color w:val="000000"/>
          <w:sz w:val="18"/>
          <w:szCs w:val="18"/>
          <w:shd w:fill="auto" w:val="clear"/>
        </w:rPr>
        <w:t>SECRETARIA DE EDUCAÇÃO PROFISSIONAL E TECNOLÓGICA</w:t>
      </w:r>
    </w:p>
    <w:p>
      <w:pPr>
        <w:pStyle w:val="Normal"/>
        <w:jc w:val="center"/>
        <w:rPr>
          <w:color w:val="000000"/>
        </w:rPr>
      </w:pPr>
      <w:r>
        <w:rPr>
          <w:rFonts w:cs="Arial" w:ascii="Arial" w:hAnsi="Arial"/>
          <w:b/>
          <w:bCs/>
          <w:color w:val="000000"/>
          <w:sz w:val="18"/>
          <w:szCs w:val="18"/>
          <w:shd w:fill="auto" w:val="clear"/>
        </w:rPr>
        <w:t>INSTITUTO FEDERAL DE EDUCAÇÃO, CIÊNCIA E TECNOLOGIA SUL-RIO-GRANDENSE</w:t>
      </w:r>
    </w:p>
    <w:p>
      <w:pPr>
        <w:pStyle w:val="Normal"/>
        <w:jc w:val="center"/>
        <w:rPr>
          <w:rFonts w:ascii="Arial" w:hAnsi="Arial" w:cs="Arial"/>
          <w:b/>
          <w:b/>
          <w:bCs/>
          <w:color w:val="000000"/>
          <w:sz w:val="18"/>
          <w:szCs w:val="18"/>
          <w:highlight w:val="none"/>
          <w:shd w:fill="auto" w:val="clear"/>
        </w:rPr>
      </w:pPr>
      <w:r>
        <w:rPr>
          <w:rFonts w:cs="Arial" w:ascii="Arial" w:hAnsi="Arial"/>
          <w:b/>
          <w:bCs/>
          <w:color w:val="000000"/>
          <w:sz w:val="18"/>
          <w:szCs w:val="18"/>
          <w:shd w:fill="auto" w:val="clear"/>
        </w:rPr>
      </w:r>
    </w:p>
    <w:p>
      <w:pPr>
        <w:pStyle w:val="Normal"/>
        <w:spacing w:before="0" w:after="120"/>
        <w:jc w:val="center"/>
        <w:rPr>
          <w:color w:val="000000"/>
        </w:rPr>
      </w:pPr>
      <w:r>
        <w:rPr>
          <w:rFonts w:cs="Arial" w:ascii="Arial" w:hAnsi="Arial"/>
          <w:b/>
          <w:bCs/>
          <w:color w:val="000000"/>
          <w:sz w:val="28"/>
          <w:szCs w:val="28"/>
          <w:shd w:fill="auto" w:val="clear"/>
        </w:rPr>
        <w:t>PREGÃO ELETRÔNICO Nº 90016/202</w:t>
      </w:r>
      <w:r>
        <w:rPr>
          <w:rFonts w:cs="Arial" w:ascii="Arial" w:hAnsi="Arial"/>
          <w:b/>
          <w:bCs/>
          <w:color w:val="000000"/>
          <w:sz w:val="28"/>
          <w:szCs w:val="28"/>
          <w:shd w:fill="auto" w:val="clear"/>
        </w:rPr>
        <w:t>6</w:t>
      </w:r>
    </w:p>
    <w:p>
      <w:pPr>
        <w:pStyle w:val="Normal"/>
        <w:spacing w:lineRule="auto" w:line="312" w:before="360" w:after="288"/>
        <w:jc w:val="center"/>
        <w:rPr>
          <w:color w:val="000000"/>
        </w:rPr>
      </w:pPr>
      <w:r>
        <w:rPr>
          <w:rFonts w:eastAsia="Calibri" w:cs="Arial" w:ascii="Arial" w:hAnsi="Arial"/>
          <w:b/>
          <w:bCs/>
          <w:i/>
          <w:iCs/>
          <w:color w:val="000000"/>
          <w:sz w:val="20"/>
          <w:szCs w:val="20"/>
          <w:shd w:fill="auto" w:val="clear"/>
          <w:lang w:eastAsia="en-US"/>
        </w:rPr>
        <w:t>PROCESSO Nº 23163.002843.2024-69</w:t>
      </w:r>
    </w:p>
    <w:p>
      <w:pPr>
        <w:pStyle w:val="Normal"/>
        <w:spacing w:lineRule="auto" w:line="312" w:before="0" w:after="288"/>
        <w:jc w:val="center"/>
        <w:rPr>
          <w:color w:val="000000"/>
        </w:rPr>
      </w:pPr>
      <w:r>
        <w:rPr>
          <w:rFonts w:eastAsia="Calibri" w:cs="Arial" w:ascii="Arial" w:hAnsi="Arial"/>
          <w:color w:val="000000"/>
          <w:sz w:val="20"/>
          <w:szCs w:val="20"/>
          <w:shd w:fill="auto" w:val="clear"/>
          <w:lang w:eastAsia="en-US"/>
        </w:rPr>
        <w:t xml:space="preserve">Ata de Registro de Preços </w:t>
      </w:r>
      <w:r>
        <w:rPr>
          <w:rFonts w:eastAsia="Calibri" w:cs="Times New Roman" w:ascii="Arial" w:hAnsi="Arial"/>
          <w:color w:val="000000"/>
          <w:sz w:val="20"/>
          <w:szCs w:val="22"/>
          <w:shd w:fill="auto" w:val="clear"/>
          <w:lang w:eastAsia="en-US"/>
        </w:rPr>
        <w:t>nº</w:t>
      </w:r>
      <w:r>
        <w:rPr>
          <w:rFonts w:eastAsia="Calibri" w:cs="Arial" w:ascii="Arial" w:hAnsi="Arial"/>
          <w:color w:val="000000"/>
          <w:sz w:val="20"/>
          <w:szCs w:val="20"/>
          <w:shd w:fill="auto" w:val="clear"/>
          <w:lang w:eastAsia="en-US"/>
        </w:rPr>
        <w:t xml:space="preserve"> </w:t>
      </w:r>
      <w:r>
        <w:rPr>
          <w:rFonts w:eastAsia="Calibri" w:cs="Arial" w:ascii="Arial" w:hAnsi="Arial"/>
          <w:i/>
          <w:iCs/>
          <w:color w:val="000000"/>
          <w:sz w:val="20"/>
          <w:szCs w:val="20"/>
          <w:shd w:fill="auto" w:val="clear"/>
          <w:lang w:eastAsia="en-US"/>
        </w:rPr>
        <w:t>XX</w:t>
      </w:r>
      <w:r>
        <w:rPr>
          <w:rFonts w:eastAsia="Calibri" w:cs="Arial" w:ascii="Arial" w:hAnsi="Arial"/>
          <w:color w:val="000000"/>
          <w:sz w:val="20"/>
          <w:szCs w:val="20"/>
          <w:shd w:fill="auto" w:val="clear"/>
          <w:lang w:eastAsia="en-US"/>
        </w:rPr>
        <w:t>/</w:t>
      </w:r>
      <w:r>
        <w:rPr>
          <w:rFonts w:eastAsia="Calibri" w:cs="Arial" w:ascii="Arial" w:hAnsi="Arial"/>
          <w:i/>
          <w:iCs/>
          <w:color w:val="000000"/>
          <w:sz w:val="20"/>
          <w:szCs w:val="20"/>
          <w:shd w:fill="auto" w:val="clear"/>
          <w:lang w:eastAsia="en-US"/>
        </w:rPr>
        <w:t>XXXX</w:t>
      </w:r>
    </w:p>
    <w:p>
      <w:pPr>
        <w:pStyle w:val="Normal"/>
        <w:widowControl w:val="false"/>
        <w:tabs>
          <w:tab w:val="clear" w:pos="708"/>
          <w:tab w:val="center" w:pos="4779" w:leader="none"/>
          <w:tab w:val="right" w:pos="9198" w:leader="none"/>
        </w:tabs>
        <w:spacing w:lineRule="auto" w:line="276" w:before="120" w:after="120"/>
        <w:ind w:right="-28" w:firstLine="1418"/>
        <w:jc w:val="both"/>
        <w:rPr>
          <w:color w:val="000000"/>
        </w:rPr>
      </w:pPr>
      <w:r>
        <w:rPr>
          <w:rFonts w:cs="Arial" w:ascii="Arial" w:hAnsi="Arial"/>
          <w:color w:val="000000"/>
          <w:sz w:val="20"/>
          <w:szCs w:val="20"/>
          <w:shd w:fill="auto" w:val="clear"/>
        </w:rPr>
        <w:t xml:space="preserve">O </w:t>
      </w:r>
      <w:r>
        <w:rPr>
          <w:rFonts w:cs="Arial" w:ascii="Arial" w:hAnsi="Arial"/>
          <w:i w:val="false"/>
          <w:iCs w:val="false"/>
          <w:color w:val="000000"/>
          <w:sz w:val="20"/>
          <w:szCs w:val="20"/>
          <w:shd w:fill="auto" w:val="clear"/>
        </w:rPr>
        <w:t>Instituto Federal Sul-rio-grandense, com sede na Rua Gonçalves Chaves, 3218, na cidade de Pelotas/RS, inscrito(a) no CNPJ/MF sob o nº 10.729.992/0001-46, neste ato representado pela Diretora de Planejamento Bruna de Oliveira Farias, nomeado pela Portaria nº 1.563 de 23 de junho de 2025, publicada no Diário Oficial da União de 24 de junho de 2025, inscrito no CPF sob o nº 014.371.530-54, portador da Carteira de Identidade nº 3093957061, considerando o julgamento da licitação na modalidade de pregão, na forma eletrônica, para REGISTRO DE PREÇOS nº 90016/202</w:t>
      </w:r>
      <w:r>
        <w:rPr>
          <w:rFonts w:cs="Arial" w:ascii="Arial" w:hAnsi="Arial"/>
          <w:i w:val="false"/>
          <w:iCs w:val="false"/>
          <w:color w:val="000000"/>
          <w:sz w:val="20"/>
          <w:szCs w:val="20"/>
          <w:shd w:fill="auto" w:val="clear"/>
        </w:rPr>
        <w:t>6</w:t>
      </w:r>
      <w:r>
        <w:rPr>
          <w:rFonts w:cs="Arial" w:ascii="Arial" w:hAnsi="Arial"/>
          <w:i w:val="false"/>
          <w:iCs w:val="false"/>
          <w:color w:val="000000"/>
          <w:sz w:val="20"/>
          <w:szCs w:val="20"/>
          <w:shd w:fill="auto" w:val="clear"/>
        </w:rPr>
        <w:t xml:space="preserve">, publicada no </w:t>
      </w:r>
      <w:r>
        <w:rPr>
          <w:rFonts w:cs="Arial" w:ascii="Arial" w:hAnsi="Arial"/>
          <w:i w:val="false"/>
          <w:iCs w:val="false"/>
          <w:color w:val="000000"/>
          <w:sz w:val="20"/>
          <w:szCs w:val="20"/>
          <w:shd w:fill="auto" w:val="clear"/>
        </w:rPr>
        <w:t>diário oficial da união</w:t>
      </w:r>
      <w:r>
        <w:rPr>
          <w:rFonts w:cs="Arial" w:ascii="Arial" w:hAnsi="Arial"/>
          <w:i w:val="false"/>
          <w:iCs w:val="false"/>
          <w:color w:val="000000"/>
          <w:sz w:val="20"/>
          <w:szCs w:val="20"/>
          <w:shd w:fill="auto" w:val="clear"/>
        </w:rPr>
        <w:t xml:space="preserve"> de </w:t>
      </w:r>
      <w:r>
        <w:rPr>
          <w:rFonts w:cs="Arial" w:ascii="Arial" w:hAnsi="Arial"/>
          <w:i w:val="false"/>
          <w:iCs w:val="false"/>
          <w:color w:val="000000"/>
          <w:sz w:val="20"/>
          <w:szCs w:val="20"/>
          <w:shd w:fill="auto" w:val="clear"/>
        </w:rPr>
        <w:t>13</w:t>
      </w:r>
      <w:r>
        <w:rPr>
          <w:rFonts w:cs="Arial" w:ascii="Arial" w:hAnsi="Arial"/>
          <w:i w:val="false"/>
          <w:iCs w:val="false"/>
          <w:color w:val="000000"/>
          <w:sz w:val="20"/>
          <w:szCs w:val="20"/>
          <w:shd w:fill="auto" w:val="clear"/>
        </w:rPr>
        <w:t>/</w:t>
      </w:r>
      <w:r>
        <w:rPr>
          <w:rFonts w:cs="Arial" w:ascii="Arial" w:hAnsi="Arial"/>
          <w:i w:val="false"/>
          <w:iCs w:val="false"/>
          <w:color w:val="000000"/>
          <w:sz w:val="20"/>
          <w:szCs w:val="20"/>
          <w:shd w:fill="auto" w:val="clear"/>
        </w:rPr>
        <w:t>03</w:t>
      </w:r>
      <w:r>
        <w:rPr>
          <w:rFonts w:cs="Arial" w:ascii="Arial" w:hAnsi="Arial"/>
          <w:i w:val="false"/>
          <w:iCs w:val="false"/>
          <w:color w:val="000000"/>
          <w:sz w:val="20"/>
          <w:szCs w:val="20"/>
          <w:shd w:fill="auto" w:val="clear"/>
        </w:rPr>
        <w:t>/202</w:t>
      </w:r>
      <w:r>
        <w:rPr>
          <w:rFonts w:cs="Arial" w:ascii="Arial" w:hAnsi="Arial"/>
          <w:i w:val="false"/>
          <w:iCs w:val="false"/>
          <w:color w:val="000000"/>
          <w:sz w:val="20"/>
          <w:szCs w:val="20"/>
          <w:shd w:fill="auto" w:val="clear"/>
        </w:rPr>
        <w:t>6</w:t>
      </w:r>
      <w:r>
        <w:rPr>
          <w:rFonts w:cs="Arial" w:ascii="Arial" w:hAnsi="Arial"/>
          <w:i w:val="false"/>
          <w:iCs w:val="false"/>
          <w:color w:val="000000"/>
          <w:sz w:val="20"/>
          <w:szCs w:val="20"/>
          <w:shd w:fill="auto" w:val="clear"/>
        </w:rPr>
        <w:t xml:space="preserve">, processo administrativo n.º </w:t>
      </w:r>
      <w:r>
        <w:rPr>
          <w:rFonts w:cs="Arial" w:ascii="Arial" w:hAnsi="Arial"/>
          <w:bCs/>
          <w:i w:val="false"/>
          <w:iCs w:val="false"/>
          <w:color w:val="000000"/>
          <w:sz w:val="20"/>
          <w:szCs w:val="20"/>
          <w:shd w:fill="auto" w:val="clear"/>
        </w:rPr>
        <w:t>23163.002843.2024-69</w:t>
      </w:r>
      <w:r>
        <w:rPr>
          <w:rFonts w:cs="Arial" w:ascii="Arial" w:hAnsi="Arial"/>
          <w:i w:val="false"/>
          <w:iCs w:val="false"/>
          <w:color w:val="000000"/>
          <w:sz w:val="20"/>
          <w:szCs w:val="20"/>
          <w:shd w:fill="auto" w:val="clear"/>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pPr>
        <w:pStyle w:val="Nivel01"/>
        <w:numPr>
          <w:ilvl w:val="0"/>
          <w:numId w:val="1"/>
        </w:numPr>
        <w:ind w:left="0" w:hanging="0"/>
        <w:rPr>
          <w:color w:val="000000"/>
        </w:rPr>
      </w:pPr>
      <w:r>
        <w:rPr>
          <w:i w:val="false"/>
          <w:iCs w:val="false"/>
          <w:color w:val="000000"/>
        </w:rPr>
        <w:t>DO OBJETO</w:t>
      </w:r>
    </w:p>
    <w:p>
      <w:pPr>
        <w:pStyle w:val="Nivel2"/>
        <w:numPr>
          <w:ilvl w:val="1"/>
          <w:numId w:val="1"/>
        </w:numPr>
        <w:ind w:left="0" w:hanging="0"/>
        <w:rPr>
          <w:color w:val="000000"/>
        </w:rPr>
      </w:pPr>
      <w:r>
        <w:rPr>
          <w:i w:val="false"/>
          <w:iCs w:val="false"/>
          <w:color w:val="000000"/>
        </w:rPr>
        <w:t xml:space="preserve">A presente Ata tem por objeto o registro de preços para a eventual contratação de </w:t>
      </w:r>
      <w:r>
        <w:rPr>
          <w:rFonts w:eastAsia="Arial"/>
          <w:i w:val="false"/>
          <w:iCs w:val="false"/>
          <w:color w:val="000000"/>
        </w:rPr>
        <w:t>de empresa para a prestação de serviço de outsourcing de impressão e digitalização, na modalidade franquia mais excedente de páginas, com fornecimento de equipamentos, software de gerenciamento de impressões efetivamente realizadas, manutenção preventiva e corretiva dos equipamentos com substituição de peças, componentes e materiais utilizados na manutenção e fornecimento de insumos originais, exceto papel, para atender as necessidades de impressão e digitalização do Instituto Federal Sul-rio-grandense</w:t>
      </w:r>
      <w:r>
        <w:rPr>
          <w:i w:val="false"/>
          <w:iCs w:val="false"/>
          <w:color w:val="000000"/>
        </w:rPr>
        <w:t xml:space="preserve">, especificado(s) no(s) item(ns) 1.1 do Termo de Referência, anexo I do edital de licitação n.º </w:t>
      </w:r>
      <w:r>
        <w:rPr>
          <w:bCs/>
          <w:i w:val="false"/>
          <w:iCs w:val="false"/>
          <w:color w:val="000000"/>
        </w:rPr>
        <w:t>90016/202</w:t>
      </w:r>
      <w:r>
        <w:rPr>
          <w:bCs/>
          <w:i w:val="false"/>
          <w:iCs w:val="false"/>
          <w:color w:val="000000"/>
        </w:rPr>
        <w:t>6</w:t>
      </w:r>
      <w:r>
        <w:rPr>
          <w:i w:val="false"/>
          <w:iCs w:val="false"/>
          <w:color w:val="000000"/>
        </w:rPr>
        <w:t>, que é parte integrante desta Ata, assim como as propostas cujos preços tenham sido registrados, independentemente de transcrição.</w:t>
      </w:r>
    </w:p>
    <w:p>
      <w:pPr>
        <w:pStyle w:val="Nivel01"/>
        <w:numPr>
          <w:ilvl w:val="0"/>
          <w:numId w:val="1"/>
        </w:numPr>
        <w:ind w:left="0" w:hanging="0"/>
        <w:rPr>
          <w:color w:val="000000"/>
        </w:rPr>
      </w:pPr>
      <w:r>
        <w:rPr>
          <w:color w:val="000000"/>
        </w:rPr>
        <w:t>DOS PREÇOS, ESPECIFICAÇÕES E QUANTITATIVOS</w:t>
      </w:r>
    </w:p>
    <w:p>
      <w:pPr>
        <w:pStyle w:val="Nivel2"/>
        <w:numPr>
          <w:ilvl w:val="1"/>
          <w:numId w:val="1"/>
        </w:numPr>
        <w:ind w:left="0" w:hanging="0"/>
        <w:rPr>
          <w:color w:val="000000"/>
        </w:rPr>
      </w:pPr>
      <w:r>
        <w:rPr>
          <w:color w:val="000000"/>
        </w:rPr>
        <w:t xml:space="preserve">O preço registrado, as especificações do objeto, as quantidades mínimas e máximas de cada item, fornecedor(es) e as demais condições ofertadas na(s) proposta(s) são as que seguem: </w:t>
      </w:r>
    </w:p>
    <w:p>
      <w:pPr>
        <w:pStyle w:val="Nivel2"/>
        <w:numPr>
          <w:ilvl w:val="0"/>
          <w:numId w:val="0"/>
        </w:numPr>
        <w:ind w:left="0" w:hanging="0"/>
        <w:rPr>
          <w:color w:val="000000"/>
        </w:rPr>
      </w:pPr>
      <w:r>
        <w:rPr>
          <w:color w:val="000000"/>
        </w:rPr>
      </w:r>
    </w:p>
    <w:p>
      <w:pPr>
        <w:pStyle w:val="Nivel2"/>
        <w:numPr>
          <w:ilvl w:val="0"/>
          <w:numId w:val="0"/>
        </w:numPr>
        <w:ind w:left="0" w:hanging="0"/>
        <w:rPr>
          <w:color w:val="000000"/>
        </w:rPr>
      </w:pPr>
      <w:r>
        <w:rPr>
          <w:color w:val="000000"/>
        </w:rPr>
      </w:r>
    </w:p>
    <w:tbl>
      <w:tblPr>
        <w:tblW w:w="9781"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9"/>
        <w:gridCol w:w="1560"/>
        <w:gridCol w:w="991"/>
        <w:gridCol w:w="991"/>
        <w:gridCol w:w="709"/>
        <w:gridCol w:w="1134"/>
        <w:gridCol w:w="1276"/>
        <w:gridCol w:w="1133"/>
        <w:gridCol w:w="1277"/>
      </w:tblGrid>
      <w:tr>
        <w:trPr/>
        <w:tc>
          <w:tcPr>
            <w:tcW w:w="9780"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8"/>
                <w:szCs w:val="18"/>
              </w:rPr>
              <w:t>GRUPO 1 - REITORIA</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QTDE.PÁG./MÊS</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(5 ANOS)</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8"/>
                <w:szCs w:val="18"/>
              </w:rPr>
              <w:t>1</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monocromático - dentro da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16.250</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975000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R$ 0,38</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R$ 74.100,00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R$ 370.500,00</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8"/>
                <w:szCs w:val="18"/>
              </w:rPr>
              <w:t>2</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excedente 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10.833</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649.980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R$ 0,14</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R$ 18.199,44</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R$ 90.997,20</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8"/>
                <w:szCs w:val="18"/>
              </w:rPr>
              <w:t>3</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dentro da</w:t>
            </w:r>
            <w:r>
              <w:rPr>
                <w:rFonts w:eastAsia="Times New Roman" w:cs="Times New Roman" w:ascii="Times New Roman" w:hAnsi="Times New Roman"/>
                <w:color w:val="000000"/>
                <w:sz w:val="16"/>
                <w:szCs w:val="16"/>
              </w:rPr>
              <w:t xml:space="preserve"> f</w:t>
            </w:r>
            <w:r>
              <w:rPr>
                <w:rFonts w:eastAsia="Times New Roman" w:cs="Arial" w:ascii="Arial" w:hAnsi="Arial"/>
                <w:color w:val="000000"/>
                <w:sz w:val="16"/>
                <w:szCs w:val="16"/>
              </w:rPr>
              <w:t>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808</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48.480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R$ 1,00</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R$ 9.696,00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R$ 48.480,00</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8"/>
                <w:szCs w:val="18"/>
              </w:rPr>
              <w:t>4</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excedente 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539</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32.340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R$ 0,48</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RS 3.104,64</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R$ 15.523,20</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8"/>
                <w:szCs w:val="18"/>
              </w:rPr>
              <w:t>5</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A3 -</w:t>
            </w:r>
          </w:p>
          <w:p>
            <w:pPr>
              <w:pStyle w:val="Normal"/>
              <w:widowControl w:val="false"/>
              <w:spacing w:before="57" w:after="57"/>
              <w:rPr>
                <w:color w:val="000000"/>
              </w:rPr>
            </w:pPr>
            <w:r>
              <w:rPr>
                <w:rFonts w:eastAsia="Times New Roman" w:cs="Arial" w:ascii="Arial" w:hAnsi="Arial"/>
                <w:color w:val="000000"/>
                <w:sz w:val="16"/>
                <w:szCs w:val="16"/>
              </w:rPr>
              <w:t>Policromático Com módulo de acabamento- Dentro da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26638</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25</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1.500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R$ 1,92</w:t>
            </w:r>
          </w:p>
        </w:tc>
        <w:tc>
          <w:tcPr>
            <w:tcW w:w="113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pPr>
              <w:pStyle w:val="Normal"/>
              <w:widowControl w:val="false"/>
              <w:jc w:val="center"/>
              <w:rPr>
                <w:color w:val="000000"/>
              </w:rPr>
            </w:pPr>
            <w:r>
              <w:rPr>
                <w:rFonts w:eastAsia="Times New Roman" w:cs="Arial" w:ascii="Arial" w:hAnsi="Arial"/>
                <w:color w:val="000000"/>
                <w:sz w:val="16"/>
                <w:szCs w:val="16"/>
              </w:rPr>
              <w:t>R$ 576,00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R$ 2.880,00</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widowControl w:val="false"/>
              <w:spacing w:before="57" w:after="57"/>
              <w:jc w:val="center"/>
              <w:rPr>
                <w:color w:val="000000"/>
              </w:rPr>
            </w:pPr>
            <w:r>
              <w:rPr>
                <w:rFonts w:eastAsia="Times New Roman" w:cs="Arial" w:ascii="Arial" w:hAnsi="Arial"/>
                <w:b/>
                <w:bCs/>
                <w:color w:val="000000"/>
                <w:sz w:val="18"/>
                <w:szCs w:val="18"/>
              </w:rPr>
              <w:t>6</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A3 -</w:t>
            </w:r>
          </w:p>
          <w:p>
            <w:pPr>
              <w:pStyle w:val="Normal"/>
              <w:widowControl w:val="false"/>
              <w:spacing w:before="57" w:after="57"/>
              <w:rPr>
                <w:color w:val="000000"/>
              </w:rPr>
            </w:pPr>
            <w:r>
              <w:rPr>
                <w:rFonts w:eastAsia="Times New Roman" w:cs="Arial" w:ascii="Arial" w:hAnsi="Arial"/>
                <w:color w:val="000000"/>
                <w:sz w:val="16"/>
                <w:szCs w:val="16"/>
              </w:rPr>
              <w:t>Policromático - Excedente da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26719</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17</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1.020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R$ 0,97</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R$ 197,88</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R$ 989,40</w:t>
            </w:r>
          </w:p>
        </w:tc>
      </w:tr>
      <w:tr>
        <w:trPr>
          <w:trHeight w:val="220" w:hRule="atLeast"/>
        </w:trPr>
        <w:tc>
          <w:tcPr>
            <w:tcW w:w="7370"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right"/>
              <w:rPr>
                <w:color w:val="000000"/>
              </w:rPr>
            </w:pPr>
            <w:r>
              <w:rPr>
                <w:rFonts w:eastAsia="Times New Roman" w:cs="Arial" w:ascii="Arial" w:hAnsi="Arial"/>
                <w:b/>
                <w:bCs/>
                <w:color w:val="000000"/>
                <w:sz w:val="18"/>
                <w:szCs w:val="18"/>
              </w:rPr>
              <w:t>TOTAL</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rFonts w:eastAsia="Times New Roman" w:cs="Arial" w:ascii="Arial" w:hAnsi="Arial"/>
                <w:b/>
                <w:bCs/>
                <w:color w:val="000000"/>
                <w:sz w:val="16"/>
                <w:szCs w:val="16"/>
              </w:rPr>
              <w:t xml:space="preserve"> </w:t>
            </w:r>
            <w:r>
              <w:rPr>
                <w:rFonts w:eastAsia="Times New Roman" w:cs="Arial" w:ascii="Arial" w:hAnsi="Arial"/>
                <w:b/>
                <w:bCs/>
                <w:color w:val="000000"/>
                <w:sz w:val="16"/>
                <w:szCs w:val="16"/>
              </w:rPr>
              <w:t>R$</w:t>
            </w:r>
          </w:p>
          <w:p>
            <w:pPr>
              <w:pStyle w:val="Normal"/>
              <w:widowControl w:val="false"/>
              <w:jc w:val="center"/>
              <w:rPr>
                <w:color w:val="000000"/>
              </w:rPr>
            </w:pPr>
            <w:r>
              <w:rPr>
                <w:rFonts w:eastAsia="Times New Roman" w:cs="Arial" w:ascii="Arial" w:hAnsi="Arial"/>
                <w:b/>
                <w:bCs/>
                <w:color w:val="000000"/>
                <w:sz w:val="16"/>
                <w:szCs w:val="16"/>
              </w:rPr>
              <w:t xml:space="preserve"> </w:t>
            </w:r>
            <w:r>
              <w:rPr>
                <w:rFonts w:eastAsia="Times New Roman" w:cs="Arial" w:ascii="Arial" w:hAnsi="Arial"/>
                <w:b/>
                <w:bCs/>
                <w:color w:val="000000"/>
                <w:sz w:val="16"/>
                <w:szCs w:val="16"/>
              </w:rPr>
              <w:t>105.873,96</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rFonts w:eastAsia="Times New Roman" w:cs="Arial" w:ascii="Arial" w:hAnsi="Arial"/>
                <w:b/>
                <w:bCs/>
                <w:color w:val="000000"/>
                <w:sz w:val="16"/>
                <w:szCs w:val="16"/>
              </w:rPr>
              <w:t xml:space="preserve"> </w:t>
            </w:r>
            <w:r>
              <w:rPr>
                <w:rFonts w:eastAsia="Times New Roman" w:cs="Arial" w:ascii="Arial" w:hAnsi="Arial"/>
                <w:b/>
                <w:bCs/>
                <w:color w:val="000000"/>
                <w:sz w:val="16"/>
                <w:szCs w:val="16"/>
              </w:rPr>
              <w:t>R$ 529.369,80</w:t>
            </w:r>
          </w:p>
        </w:tc>
      </w:tr>
    </w:tbl>
    <w:p>
      <w:pPr>
        <w:pStyle w:val="Normal"/>
        <w:rPr>
          <w:color w:val="000000"/>
        </w:rPr>
      </w:pPr>
      <w:r>
        <w:rPr>
          <w:color w:val="000000"/>
        </w:rPr>
      </w:r>
    </w:p>
    <w:p>
      <w:pPr>
        <w:pStyle w:val="Normal"/>
        <w:rPr>
          <w:color w:val="000000"/>
        </w:rPr>
      </w:pPr>
      <w:r>
        <w:rPr>
          <w:color w:val="000000"/>
        </w:rPr>
      </w:r>
    </w:p>
    <w:tbl>
      <w:tblPr>
        <w:tblW w:w="9786"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701"/>
        <w:gridCol w:w="1567"/>
        <w:gridCol w:w="990"/>
        <w:gridCol w:w="994"/>
        <w:gridCol w:w="707"/>
        <w:gridCol w:w="993"/>
        <w:gridCol w:w="1275"/>
        <w:gridCol w:w="1278"/>
        <w:gridCol w:w="1280"/>
      </w:tblGrid>
      <w:tr>
        <w:trPr/>
        <w:tc>
          <w:tcPr>
            <w:tcW w:w="9785"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8"/>
                <w:szCs w:val="18"/>
              </w:rPr>
              <w:t>GRUPO 2 – CAMPUS PASSO FUNDO</w:t>
            </w:r>
          </w:p>
        </w:tc>
      </w:tr>
      <w:tr>
        <w:trPr/>
        <w:tc>
          <w:tcPr>
            <w:tcW w:w="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5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(5 ANOS)</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(5 ANOS)</w:t>
            </w:r>
          </w:p>
        </w:tc>
      </w:tr>
      <w:tr>
        <w:trPr/>
        <w:tc>
          <w:tcPr>
            <w:tcW w:w="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7</w:t>
            </w:r>
          </w:p>
        </w:tc>
        <w:tc>
          <w:tcPr>
            <w:tcW w:w="15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dentro da franquia SEM papel </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11.455</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687.300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R$ 0,56</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R$ 76.977,60</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R$ 384.888,00</w:t>
            </w:r>
          </w:p>
        </w:tc>
      </w:tr>
      <w:tr>
        <w:trPr/>
        <w:tc>
          <w:tcPr>
            <w:tcW w:w="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8</w:t>
            </w:r>
          </w:p>
        </w:tc>
        <w:tc>
          <w:tcPr>
            <w:tcW w:w="15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excedente a franquia SEM papel </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7.636</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458.160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R$ 0,20</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R$ 18.326,4</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R$ 91.632,00</w:t>
            </w:r>
          </w:p>
        </w:tc>
      </w:tr>
      <w:tr>
        <w:trPr/>
        <w:tc>
          <w:tcPr>
            <w:tcW w:w="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9</w:t>
            </w:r>
          </w:p>
        </w:tc>
        <w:tc>
          <w:tcPr>
            <w:tcW w:w="15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policromático - dentro da</w:t>
            </w:r>
            <w:r>
              <w:rPr>
                <w:rFonts w:eastAsia="Times New Roman" w:cs="Times New Roman" w:ascii="Times New Roman" w:hAnsi="Times New Roman"/>
                <w:color w:val="000000"/>
                <w:sz w:val="16"/>
                <w:szCs w:val="16"/>
              </w:rPr>
              <w:t xml:space="preserve"> f</w:t>
            </w:r>
            <w:r>
              <w:rPr>
                <w:rFonts w:eastAsia="Times New Roman" w:cs="Arial" w:ascii="Arial" w:hAnsi="Arial"/>
                <w:color w:val="000000"/>
                <w:sz w:val="16"/>
                <w:szCs w:val="16"/>
              </w:rPr>
              <w:t>ranquia SEM papel </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540</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32.400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R$ 1,42</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R$ 9.201,6</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R$ 46.008,00</w:t>
            </w:r>
          </w:p>
        </w:tc>
      </w:tr>
      <w:tr>
        <w:trPr/>
        <w:tc>
          <w:tcPr>
            <w:tcW w:w="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10</w:t>
            </w:r>
          </w:p>
        </w:tc>
        <w:tc>
          <w:tcPr>
            <w:tcW w:w="15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policromático - excedente a franquia SEM papel </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360</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21.600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R$ 0,68</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R$ 2.937,6</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R$ 14.688,00</w:t>
            </w:r>
          </w:p>
        </w:tc>
      </w:tr>
      <w:tr>
        <w:trPr/>
        <w:tc>
          <w:tcPr>
            <w:tcW w:w="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11</w:t>
            </w:r>
          </w:p>
        </w:tc>
        <w:tc>
          <w:tcPr>
            <w:tcW w:w="15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 xml:space="preserve">Outsourcing de Impressão - Páginas A3 -Policromático Com módulo de </w:t>
            </w:r>
            <w:r>
              <w:rPr>
                <w:rFonts w:eastAsia="Times New Roman" w:cs="Times New Roman" w:ascii="Times New Roman" w:hAnsi="Times New Roman"/>
                <w:color w:val="000000"/>
                <w:sz w:val="16"/>
                <w:szCs w:val="16"/>
              </w:rPr>
              <w:t>a</w:t>
            </w:r>
            <w:r>
              <w:rPr>
                <w:rFonts w:eastAsia="Times New Roman" w:cs="Arial" w:ascii="Arial" w:hAnsi="Arial"/>
                <w:color w:val="000000"/>
                <w:sz w:val="16"/>
                <w:szCs w:val="16"/>
              </w:rPr>
              <w:t>cabamento- Dentro da Franquia sem Papel** </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26638</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100</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6.000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R$ 2,76</w:t>
            </w:r>
          </w:p>
        </w:tc>
        <w:tc>
          <w:tcPr>
            <w:tcW w:w="1278"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pPr>
              <w:pStyle w:val="Normal"/>
              <w:widowControl w:val="false"/>
              <w:jc w:val="center"/>
              <w:rPr>
                <w:color w:val="000000"/>
              </w:rPr>
            </w:pPr>
            <w:r>
              <w:rPr>
                <w:rFonts w:eastAsia="Times New Roman" w:cs="Arial" w:ascii="Arial" w:hAnsi="Arial"/>
                <w:color w:val="000000"/>
                <w:sz w:val="16"/>
                <w:szCs w:val="16"/>
              </w:rPr>
              <w:t>R$ 3.312,00</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R$ 16.560,00</w:t>
            </w:r>
          </w:p>
        </w:tc>
      </w:tr>
      <w:tr>
        <w:trPr/>
        <w:tc>
          <w:tcPr>
            <w:tcW w:w="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rFonts w:ascii="Times New Roman" w:hAnsi="Times New Roman" w:eastAsia="Times New Roman" w:cs="Times New Roman"/>
                <w:color w:val="000000"/>
                <w:sz w:val="16"/>
                <w:szCs w:val="16"/>
              </w:rPr>
            </w:pPr>
            <w:r>
              <w:rPr>
                <w:rFonts w:eastAsia="Times New Roman" w:cs="Times New Roman" w:ascii="Times New Roman" w:hAnsi="Times New Roman"/>
                <w:color w:val="000000"/>
                <w:sz w:val="16"/>
                <w:szCs w:val="16"/>
              </w:rPr>
            </w:r>
          </w:p>
          <w:p>
            <w:pPr>
              <w:pStyle w:val="Normal"/>
              <w:widowControl w:val="false"/>
              <w:spacing w:before="57" w:after="57"/>
              <w:jc w:val="center"/>
              <w:rPr>
                <w:color w:val="000000"/>
              </w:rPr>
            </w:pPr>
            <w:r>
              <w:rPr>
                <w:rFonts w:eastAsia="Times New Roman" w:cs="Arial" w:ascii="Arial" w:hAnsi="Arial"/>
                <w:b/>
                <w:bCs/>
                <w:color w:val="000000"/>
                <w:sz w:val="16"/>
                <w:szCs w:val="16"/>
              </w:rPr>
              <w:t>12</w:t>
            </w:r>
          </w:p>
        </w:tc>
        <w:tc>
          <w:tcPr>
            <w:tcW w:w="15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A3 -Policromático - Excedente da Franquia sem Papel** </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26719</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100</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6.000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R$ 1,36</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R$ 1.632,00</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R$ 8.160,00</w:t>
            </w:r>
          </w:p>
        </w:tc>
      </w:tr>
      <w:tr>
        <w:trPr>
          <w:trHeight w:val="220" w:hRule="atLeast"/>
        </w:trPr>
        <w:tc>
          <w:tcPr>
            <w:tcW w:w="722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right"/>
              <w:rPr>
                <w:color w:val="000000"/>
              </w:rPr>
            </w:pPr>
            <w:r>
              <w:rPr>
                <w:rFonts w:eastAsia="Times New Roman" w:cs="Arial" w:ascii="Arial" w:hAnsi="Arial"/>
                <w:b/>
                <w:bCs/>
                <w:color w:val="000000"/>
                <w:sz w:val="18"/>
                <w:szCs w:val="18"/>
              </w:rPr>
              <w:t>TOTAL</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112.387,20</w:t>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561.936,00</w:t>
            </w:r>
          </w:p>
        </w:tc>
      </w:tr>
    </w:tbl>
    <w:p>
      <w:pPr>
        <w:pStyle w:val="Normal"/>
        <w:rPr>
          <w:color w:val="000000"/>
        </w:rPr>
      </w:pPr>
      <w:r>
        <w:rPr>
          <w:color w:val="000000"/>
        </w:rPr>
      </w:r>
    </w:p>
    <w:p>
      <w:pPr>
        <w:pStyle w:val="Normal"/>
        <w:rPr>
          <w:color w:val="000000"/>
        </w:rPr>
      </w:pPr>
      <w:r>
        <w:rPr>
          <w:color w:val="000000"/>
        </w:rPr>
      </w:r>
    </w:p>
    <w:tbl>
      <w:tblPr>
        <w:tblW w:w="9781"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709"/>
        <w:gridCol w:w="1560"/>
        <w:gridCol w:w="991"/>
        <w:gridCol w:w="991"/>
        <w:gridCol w:w="709"/>
        <w:gridCol w:w="992"/>
        <w:gridCol w:w="1279"/>
        <w:gridCol w:w="1273"/>
        <w:gridCol w:w="1276"/>
      </w:tblGrid>
      <w:tr>
        <w:trPr/>
        <w:tc>
          <w:tcPr>
            <w:tcW w:w="9780"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8"/>
                <w:szCs w:val="18"/>
              </w:rPr>
              <w:t>GRUPO 3 – CAMPUS SAPUCAIA DO SUL</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(5 ANOS)</w:t>
            </w:r>
          </w:p>
        </w:tc>
        <w:tc>
          <w:tcPr>
            <w:tcW w:w="127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27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(5 ANOS)</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13</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 monocromático - dentro da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13.800</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828.000</w:t>
            </w:r>
          </w:p>
        </w:tc>
        <w:tc>
          <w:tcPr>
            <w:tcW w:w="12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R$ 0,42</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R$ 69.552,00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R$ 347.760,00</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14</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excedente 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9.500</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570.000</w:t>
            </w:r>
          </w:p>
        </w:tc>
        <w:tc>
          <w:tcPr>
            <w:tcW w:w="12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R$ 0,15</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R$ 17.100,00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R$ 85.500,00</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15</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dentro da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90</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5.400</w:t>
            </w:r>
          </w:p>
        </w:tc>
        <w:tc>
          <w:tcPr>
            <w:tcW w:w="12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R$ 1,30</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R$ 1.404,00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R$ 7.020,00</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16</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excedente 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60</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3.600</w:t>
            </w:r>
          </w:p>
        </w:tc>
        <w:tc>
          <w:tcPr>
            <w:tcW w:w="12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R$ 0,64</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R$ 460,80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R$ 2.304,00</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17</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A3 -</w:t>
            </w:r>
          </w:p>
          <w:p>
            <w:pPr>
              <w:pStyle w:val="Normal"/>
              <w:widowControl w:val="false"/>
              <w:spacing w:before="57" w:after="57"/>
              <w:rPr>
                <w:color w:val="000000"/>
              </w:rPr>
            </w:pPr>
            <w:r>
              <w:rPr>
                <w:rFonts w:eastAsia="Times New Roman" w:cs="Arial" w:ascii="Arial" w:hAnsi="Arial"/>
                <w:color w:val="000000"/>
                <w:sz w:val="16"/>
                <w:szCs w:val="16"/>
              </w:rPr>
              <w:t>Policromático Com módulo de Acabamento - Dentro da </w:t>
            </w:r>
          </w:p>
          <w:p>
            <w:pPr>
              <w:pStyle w:val="Normal"/>
              <w:widowControl w:val="false"/>
              <w:spacing w:before="57" w:after="57"/>
              <w:rPr>
                <w:color w:val="000000"/>
              </w:rPr>
            </w:pPr>
            <w:r>
              <w:rPr>
                <w:rFonts w:eastAsia="Times New Roman" w:cs="Arial" w:ascii="Arial" w:hAnsi="Arial"/>
                <w:color w:val="000000"/>
                <w:sz w:val="16"/>
                <w:szCs w:val="16"/>
              </w:rPr>
              <w:t>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26638</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15</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900</w:t>
            </w:r>
          </w:p>
        </w:tc>
        <w:tc>
          <w:tcPr>
            <w:tcW w:w="12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R$ 2,53</w:t>
            </w:r>
          </w:p>
        </w:tc>
        <w:tc>
          <w:tcPr>
            <w:tcW w:w="127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pPr>
              <w:pStyle w:val="Normal"/>
              <w:widowControl w:val="false"/>
              <w:jc w:val="center"/>
              <w:rPr>
                <w:color w:val="000000"/>
              </w:rPr>
            </w:pPr>
            <w:r>
              <w:rPr>
                <w:rFonts w:eastAsia="Times New Roman" w:cs="Arial" w:ascii="Arial" w:hAnsi="Arial"/>
                <w:color w:val="000000"/>
                <w:sz w:val="16"/>
                <w:szCs w:val="16"/>
              </w:rPr>
              <w:t>R$ 455,4</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R$ 2.277,00</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000000"/>
                <w:sz w:val="16"/>
                <w:szCs w:val="16"/>
              </w:rPr>
            </w:pPr>
            <w:r>
              <w:rPr>
                <w:rFonts w:eastAsia="Times New Roman" w:cs="Times New Roman" w:ascii="Times New Roman" w:hAnsi="Times New Roman"/>
                <w:color w:val="000000"/>
                <w:sz w:val="16"/>
                <w:szCs w:val="16"/>
              </w:rPr>
            </w:r>
          </w:p>
          <w:p>
            <w:pPr>
              <w:pStyle w:val="Normal"/>
              <w:widowControl w:val="false"/>
              <w:spacing w:before="57" w:after="57"/>
              <w:jc w:val="center"/>
              <w:rPr>
                <w:color w:val="000000"/>
              </w:rPr>
            </w:pPr>
            <w:r>
              <w:rPr>
                <w:rFonts w:eastAsia="Times New Roman" w:cs="Arial" w:ascii="Arial" w:hAnsi="Arial"/>
                <w:b/>
                <w:bCs/>
                <w:color w:val="000000"/>
                <w:sz w:val="16"/>
                <w:szCs w:val="16"/>
              </w:rPr>
              <w:t>18</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A3 -  Policromático - Excedente da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26719</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15</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900</w:t>
            </w:r>
          </w:p>
        </w:tc>
        <w:tc>
          <w:tcPr>
            <w:tcW w:w="12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R$ 1,29</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R$ 232,2</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R$ 1.161,00</w:t>
            </w:r>
          </w:p>
        </w:tc>
      </w:tr>
      <w:tr>
        <w:trPr>
          <w:trHeight w:val="318" w:hRule="atLeast"/>
        </w:trPr>
        <w:tc>
          <w:tcPr>
            <w:tcW w:w="7231"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right"/>
              <w:rPr>
                <w:color w:val="000000"/>
              </w:rPr>
            </w:pPr>
            <w:r>
              <w:rPr>
                <w:rFonts w:eastAsia="Times New Roman" w:cs="Arial" w:ascii="Arial" w:hAnsi="Arial"/>
                <w:b/>
                <w:bCs/>
                <w:color w:val="000000"/>
                <w:sz w:val="18"/>
                <w:szCs w:val="18"/>
              </w:rPr>
              <w:t>TOTAL</w:t>
            </w:r>
          </w:p>
        </w:tc>
        <w:tc>
          <w:tcPr>
            <w:tcW w:w="127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rFonts w:eastAsia="Times New Roman" w:cs="Arial" w:ascii="Arial" w:hAnsi="Arial"/>
                <w:b/>
                <w:color w:val="000000"/>
                <w:sz w:val="16"/>
                <w:szCs w:val="16"/>
              </w:rPr>
              <w:t xml:space="preserve">R$ </w:t>
            </w:r>
          </w:p>
          <w:p>
            <w:pPr>
              <w:pStyle w:val="Normal"/>
              <w:widowControl w:val="false"/>
              <w:jc w:val="center"/>
              <w:rPr>
                <w:color w:val="000000"/>
              </w:rPr>
            </w:pPr>
            <w:r>
              <w:rPr>
                <w:rFonts w:eastAsia="Times New Roman" w:cs="Arial" w:ascii="Arial" w:hAnsi="Arial"/>
                <w:b/>
                <w:color w:val="000000"/>
                <w:sz w:val="16"/>
                <w:szCs w:val="16"/>
              </w:rPr>
              <w:t>89.204,40</w:t>
            </w:r>
          </w:p>
          <w:p>
            <w:pPr>
              <w:pStyle w:val="Normal"/>
              <w:widowControl w:val="false"/>
              <w:jc w:val="center"/>
              <w:rPr>
                <w:rFonts w:ascii="Arial" w:hAnsi="Arial" w:eastAsia="Times New Roman" w:cs="Arial"/>
                <w:b/>
                <w:b/>
                <w:color w:val="000000"/>
                <w:sz w:val="16"/>
                <w:szCs w:val="16"/>
              </w:rPr>
            </w:pPr>
            <w:r>
              <w:rPr>
                <w:rFonts w:eastAsia="Times New Roman" w:cs="Arial" w:ascii="Arial" w:hAnsi="Arial"/>
                <w:b/>
                <w:color w:val="000000"/>
                <w:sz w:val="16"/>
                <w:szCs w:val="16"/>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rFonts w:eastAsia="Times New Roman" w:cs="Arial" w:ascii="Arial" w:hAnsi="Arial"/>
                <w:b/>
                <w:color w:val="000000"/>
                <w:sz w:val="16"/>
                <w:szCs w:val="16"/>
              </w:rPr>
              <w:t xml:space="preserve">R$ </w:t>
            </w:r>
          </w:p>
          <w:p>
            <w:pPr>
              <w:pStyle w:val="Normal"/>
              <w:widowControl w:val="false"/>
              <w:jc w:val="center"/>
              <w:rPr>
                <w:color w:val="000000"/>
              </w:rPr>
            </w:pPr>
            <w:r>
              <w:rPr>
                <w:rFonts w:eastAsia="Times New Roman" w:cs="Arial" w:ascii="Arial" w:hAnsi="Arial"/>
                <w:b/>
                <w:color w:val="000000"/>
                <w:sz w:val="16"/>
                <w:szCs w:val="16"/>
              </w:rPr>
              <w:t>446.022,00</w:t>
            </w:r>
          </w:p>
        </w:tc>
      </w:tr>
    </w:tbl>
    <w:p>
      <w:pPr>
        <w:pStyle w:val="Normal"/>
        <w:rPr>
          <w:color w:val="000000"/>
        </w:rPr>
      </w:pPr>
      <w:r>
        <w:rPr>
          <w:color w:val="000000"/>
        </w:rPr>
      </w:r>
    </w:p>
    <w:p>
      <w:pPr>
        <w:pStyle w:val="Normal"/>
        <w:rPr>
          <w:color w:val="000000"/>
        </w:rPr>
      </w:pPr>
      <w:r>
        <w:rPr>
          <w:color w:val="000000"/>
        </w:rPr>
      </w:r>
    </w:p>
    <w:tbl>
      <w:tblPr>
        <w:tblW w:w="9781"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709"/>
        <w:gridCol w:w="1559"/>
        <w:gridCol w:w="992"/>
        <w:gridCol w:w="991"/>
        <w:gridCol w:w="709"/>
        <w:gridCol w:w="1044"/>
        <w:gridCol w:w="1227"/>
        <w:gridCol w:w="1153"/>
        <w:gridCol w:w="1396"/>
      </w:tblGrid>
      <w:tr>
        <w:trPr/>
        <w:tc>
          <w:tcPr>
            <w:tcW w:w="9780"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GRUPO 4 – CAMPUS CHARQUEADAS</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10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3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(CINCO ANOS)</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19</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dentro da franquia SEM papel </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12.000</w:t>
            </w:r>
          </w:p>
        </w:tc>
        <w:tc>
          <w:tcPr>
            <w:tcW w:w="10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720.000</w:t>
            </w:r>
          </w:p>
        </w:tc>
        <w:tc>
          <w:tcPr>
            <w:tcW w:w="12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R$ 0,26</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R$ 37.440,00</w:t>
            </w:r>
          </w:p>
        </w:tc>
        <w:tc>
          <w:tcPr>
            <w:tcW w:w="13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R$ 187.200,00</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20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excedente a franquia SEM papel </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8.000</w:t>
            </w:r>
          </w:p>
        </w:tc>
        <w:tc>
          <w:tcPr>
            <w:tcW w:w="10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480.000</w:t>
            </w:r>
          </w:p>
        </w:tc>
        <w:tc>
          <w:tcPr>
            <w:tcW w:w="12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R$ 0,10</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R$ 9.600,00</w:t>
            </w:r>
          </w:p>
        </w:tc>
        <w:tc>
          <w:tcPr>
            <w:tcW w:w="13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R$ 48.000,00</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21</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dentro dafranquia SEM papel </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500</w:t>
            </w:r>
          </w:p>
        </w:tc>
        <w:tc>
          <w:tcPr>
            <w:tcW w:w="10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30.000</w:t>
            </w:r>
          </w:p>
        </w:tc>
        <w:tc>
          <w:tcPr>
            <w:tcW w:w="12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R$ 1,46</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R$ 8.760,00</w:t>
            </w:r>
          </w:p>
        </w:tc>
        <w:tc>
          <w:tcPr>
            <w:tcW w:w="13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R$ 43.800,00</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22</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excedente a franquia SEM papel </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500</w:t>
            </w:r>
          </w:p>
        </w:tc>
        <w:tc>
          <w:tcPr>
            <w:tcW w:w="10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30.000</w:t>
            </w:r>
          </w:p>
        </w:tc>
        <w:tc>
          <w:tcPr>
            <w:tcW w:w="12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R$ 0,83</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R$ 4.980,00</w:t>
            </w:r>
          </w:p>
        </w:tc>
        <w:tc>
          <w:tcPr>
            <w:tcW w:w="13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R$ 24.900,00</w:t>
            </w:r>
          </w:p>
        </w:tc>
      </w:tr>
      <w:tr>
        <w:trPr>
          <w:trHeight w:val="220" w:hRule="atLeast"/>
        </w:trPr>
        <w:tc>
          <w:tcPr>
            <w:tcW w:w="7231"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right"/>
              <w:rPr>
                <w:color w:val="000000"/>
              </w:rPr>
            </w:pPr>
            <w:r>
              <w:rPr>
                <w:rFonts w:eastAsia="Times New Roman" w:cs="Arial" w:ascii="Arial" w:hAnsi="Arial"/>
                <w:b/>
                <w:bCs/>
                <w:color w:val="000000"/>
                <w:sz w:val="16"/>
                <w:szCs w:val="16"/>
              </w:rPr>
              <w:t>TOTAL</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60.780,00</w:t>
            </w:r>
          </w:p>
        </w:tc>
        <w:tc>
          <w:tcPr>
            <w:tcW w:w="13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303.900,00</w:t>
            </w:r>
          </w:p>
        </w:tc>
      </w:tr>
    </w:tbl>
    <w:p>
      <w:pPr>
        <w:pStyle w:val="Normal"/>
        <w:rPr>
          <w:color w:val="000000"/>
        </w:rPr>
      </w:pPr>
      <w:r>
        <w:rPr>
          <w:color w:val="000000"/>
        </w:rPr>
      </w:r>
    </w:p>
    <w:p>
      <w:pPr>
        <w:pStyle w:val="Normal"/>
        <w:rPr>
          <w:color w:val="000000"/>
        </w:rPr>
      </w:pPr>
      <w:r>
        <w:rPr>
          <w:color w:val="000000"/>
        </w:rPr>
      </w:r>
    </w:p>
    <w:tbl>
      <w:tblPr>
        <w:tblW w:w="9786"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572"/>
        <w:gridCol w:w="1661"/>
        <w:gridCol w:w="889"/>
        <w:gridCol w:w="993"/>
        <w:gridCol w:w="710"/>
        <w:gridCol w:w="990"/>
        <w:gridCol w:w="1276"/>
        <w:gridCol w:w="1277"/>
        <w:gridCol w:w="1417"/>
      </w:tblGrid>
      <w:tr>
        <w:trPr/>
        <w:tc>
          <w:tcPr>
            <w:tcW w:w="9785"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GRUPO  5 – CAMPUS CAMAQUÃ</w:t>
            </w:r>
          </w:p>
        </w:tc>
      </w:tr>
      <w:tr>
        <w:trPr/>
        <w:tc>
          <w:tcPr>
            <w:tcW w:w="5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6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8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(CINCO ANOS)</w:t>
            </w:r>
          </w:p>
        </w:tc>
      </w:tr>
      <w:tr>
        <w:trPr/>
        <w:tc>
          <w:tcPr>
            <w:tcW w:w="5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23</w:t>
            </w:r>
          </w:p>
        </w:tc>
        <w:tc>
          <w:tcPr>
            <w:tcW w:w="16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monocromático - dentro da franquia SEM papel</w:t>
            </w:r>
          </w:p>
        </w:tc>
        <w:tc>
          <w:tcPr>
            <w:tcW w:w="8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20.000</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1.200.000</w:t>
            </w:r>
          </w:p>
        </w:tc>
        <w:tc>
          <w:tcPr>
            <w:tcW w:w="1276"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jc w:val="center"/>
              <w:rPr>
                <w:color w:val="000000"/>
              </w:rPr>
            </w:pPr>
            <w:r>
              <w:rPr>
                <w:rFonts w:cs="Arial" w:ascii="Arial" w:hAnsi="Arial"/>
                <w:bCs/>
                <w:color w:val="000000"/>
                <w:sz w:val="16"/>
                <w:szCs w:val="16"/>
              </w:rPr>
              <w:t>R$ 0,22</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R$ 52.800,00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R$ 264.000,00</w:t>
            </w:r>
          </w:p>
        </w:tc>
      </w:tr>
      <w:tr>
        <w:trPr/>
        <w:tc>
          <w:tcPr>
            <w:tcW w:w="5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24</w:t>
            </w:r>
          </w:p>
        </w:tc>
        <w:tc>
          <w:tcPr>
            <w:tcW w:w="16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monocromático - excedente a franquia SEM papel</w:t>
            </w:r>
          </w:p>
        </w:tc>
        <w:tc>
          <w:tcPr>
            <w:tcW w:w="8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5.000</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300.000</w:t>
            </w:r>
          </w:p>
        </w:tc>
        <w:tc>
          <w:tcPr>
            <w:tcW w:w="1276"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jc w:val="center"/>
              <w:rPr>
                <w:color w:val="000000"/>
              </w:rPr>
            </w:pPr>
            <w:r>
              <w:rPr>
                <w:rFonts w:cs="Arial" w:ascii="Arial" w:hAnsi="Arial"/>
                <w:bCs/>
                <w:color w:val="000000"/>
                <w:sz w:val="16"/>
                <w:szCs w:val="16"/>
              </w:rPr>
              <w:t>R$ 0,09</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R$ 5.400,00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R$ 27.000,00</w:t>
            </w:r>
          </w:p>
        </w:tc>
      </w:tr>
      <w:tr>
        <w:trPr/>
        <w:tc>
          <w:tcPr>
            <w:tcW w:w="5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25</w:t>
            </w:r>
          </w:p>
        </w:tc>
        <w:tc>
          <w:tcPr>
            <w:tcW w:w="16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policromático - dentro da</w:t>
            </w:r>
            <w:r>
              <w:rPr>
                <w:rFonts w:eastAsia="Times New Roman" w:cs="Times New Roman" w:ascii="Times New Roman" w:hAnsi="Times New Roman"/>
                <w:color w:val="000000"/>
                <w:sz w:val="16"/>
                <w:szCs w:val="16"/>
              </w:rPr>
              <w:t xml:space="preserve"> f</w:t>
            </w:r>
            <w:r>
              <w:rPr>
                <w:rFonts w:eastAsia="Times New Roman" w:cs="Arial" w:ascii="Arial" w:hAnsi="Arial"/>
                <w:color w:val="000000"/>
                <w:sz w:val="16"/>
                <w:szCs w:val="16"/>
              </w:rPr>
              <w:t>ranquia SEM papel</w:t>
            </w:r>
          </w:p>
        </w:tc>
        <w:tc>
          <w:tcPr>
            <w:tcW w:w="8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500</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30.000</w:t>
            </w:r>
          </w:p>
        </w:tc>
        <w:tc>
          <w:tcPr>
            <w:tcW w:w="1276"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jc w:val="center"/>
              <w:rPr>
                <w:color w:val="000000"/>
              </w:rPr>
            </w:pPr>
            <w:r>
              <w:rPr>
                <w:rFonts w:cs="Arial" w:ascii="Arial" w:hAnsi="Arial"/>
                <w:bCs/>
                <w:color w:val="000000"/>
                <w:sz w:val="16"/>
                <w:szCs w:val="16"/>
              </w:rPr>
              <w:t>R$ 0,84</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R$ 5.040,00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R$ 25.200,00</w:t>
            </w:r>
          </w:p>
        </w:tc>
      </w:tr>
      <w:tr>
        <w:trPr/>
        <w:tc>
          <w:tcPr>
            <w:tcW w:w="5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26</w:t>
            </w:r>
          </w:p>
        </w:tc>
        <w:tc>
          <w:tcPr>
            <w:tcW w:w="16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excedente a franquia SEM papel</w:t>
            </w:r>
          </w:p>
        </w:tc>
        <w:tc>
          <w:tcPr>
            <w:tcW w:w="8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100</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6.000</w:t>
            </w:r>
          </w:p>
        </w:tc>
        <w:tc>
          <w:tcPr>
            <w:tcW w:w="1276"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jc w:val="center"/>
              <w:rPr>
                <w:color w:val="000000"/>
              </w:rPr>
            </w:pPr>
            <w:r>
              <w:rPr>
                <w:rFonts w:cs="Arial" w:ascii="Arial" w:hAnsi="Arial"/>
                <w:bCs/>
                <w:color w:val="000000"/>
                <w:sz w:val="16"/>
                <w:szCs w:val="16"/>
              </w:rPr>
              <w:t>R$ 0,48</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R$ 576,00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R$ 2.880,00</w:t>
            </w:r>
          </w:p>
        </w:tc>
      </w:tr>
      <w:tr>
        <w:trPr>
          <w:trHeight w:val="220" w:hRule="atLeast"/>
        </w:trPr>
        <w:tc>
          <w:tcPr>
            <w:tcW w:w="7091"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right"/>
              <w:rPr>
                <w:color w:val="000000"/>
              </w:rPr>
            </w:pPr>
            <w:r>
              <w:rPr>
                <w:rFonts w:eastAsia="Times New Roman" w:cs="Arial" w:ascii="Arial" w:hAnsi="Arial"/>
                <w:b/>
                <w:bCs/>
                <w:color w:val="000000"/>
                <w:sz w:val="16"/>
                <w:szCs w:val="16"/>
              </w:rPr>
              <w:t>TOTAL</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63.816,00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319.080,00</w:t>
            </w:r>
          </w:p>
        </w:tc>
      </w:tr>
    </w:tbl>
    <w:p>
      <w:pPr>
        <w:pStyle w:val="Normal"/>
        <w:rPr>
          <w:color w:val="000000"/>
        </w:rPr>
      </w:pPr>
      <w:r>
        <w:rPr>
          <w:color w:val="000000"/>
        </w:rPr>
      </w:r>
    </w:p>
    <w:p>
      <w:pPr>
        <w:pStyle w:val="Normal"/>
        <w:rPr>
          <w:color w:val="000000"/>
        </w:rPr>
      </w:pPr>
      <w:r>
        <w:rPr>
          <w:color w:val="000000"/>
        </w:rPr>
      </w:r>
    </w:p>
    <w:tbl>
      <w:tblPr>
        <w:tblW w:w="9923"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44"/>
        <w:gridCol w:w="1782"/>
        <w:gridCol w:w="926"/>
        <w:gridCol w:w="1005"/>
        <w:gridCol w:w="741"/>
        <w:gridCol w:w="991"/>
        <w:gridCol w:w="1275"/>
        <w:gridCol w:w="1137"/>
        <w:gridCol w:w="1421"/>
      </w:tblGrid>
      <w:tr>
        <w:trPr/>
        <w:tc>
          <w:tcPr>
            <w:tcW w:w="9922"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GRUPO 6 – CAMPUS BAGÉ</w:t>
            </w:r>
          </w:p>
        </w:tc>
      </w:tr>
      <w:tr>
        <w:trPr/>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10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1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4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(CINCO ANOS)</w:t>
            </w:r>
          </w:p>
        </w:tc>
      </w:tr>
      <w:tr>
        <w:trPr/>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27</w:t>
            </w:r>
          </w:p>
        </w:tc>
        <w:tc>
          <w:tcPr>
            <w:tcW w:w="1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dentro da franquia SEM papel </w:t>
            </w:r>
          </w:p>
        </w:tc>
        <w:tc>
          <w:tcPr>
            <w:tcW w:w="9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10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15.000</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900.000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R$ 0,26</w:t>
            </w:r>
          </w:p>
        </w:tc>
        <w:tc>
          <w:tcPr>
            <w:tcW w:w="11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R$ 46.800,00</w:t>
            </w:r>
          </w:p>
        </w:tc>
        <w:tc>
          <w:tcPr>
            <w:tcW w:w="14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R$ 234.000,00</w:t>
            </w:r>
          </w:p>
        </w:tc>
      </w:tr>
      <w:tr>
        <w:trPr/>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28</w:t>
            </w:r>
          </w:p>
        </w:tc>
        <w:tc>
          <w:tcPr>
            <w:tcW w:w="1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excedente a franquia SEM papel </w:t>
            </w:r>
          </w:p>
        </w:tc>
        <w:tc>
          <w:tcPr>
            <w:tcW w:w="9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10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15.000</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900.000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R$ 0,10</w:t>
            </w:r>
          </w:p>
        </w:tc>
        <w:tc>
          <w:tcPr>
            <w:tcW w:w="11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R$ 18.000,00</w:t>
            </w:r>
          </w:p>
        </w:tc>
        <w:tc>
          <w:tcPr>
            <w:tcW w:w="14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R$ 90.000,00</w:t>
            </w:r>
          </w:p>
        </w:tc>
      </w:tr>
      <w:tr>
        <w:trPr/>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29</w:t>
            </w:r>
          </w:p>
        </w:tc>
        <w:tc>
          <w:tcPr>
            <w:tcW w:w="1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dentro da</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franquia SEM papel </w:t>
            </w:r>
          </w:p>
        </w:tc>
        <w:tc>
          <w:tcPr>
            <w:tcW w:w="9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10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1.000</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60.000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R$ 0,89</w:t>
            </w:r>
          </w:p>
        </w:tc>
        <w:tc>
          <w:tcPr>
            <w:tcW w:w="11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R$ 10.680,00</w:t>
            </w:r>
          </w:p>
        </w:tc>
        <w:tc>
          <w:tcPr>
            <w:tcW w:w="14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R$ 53.400,00</w:t>
            </w:r>
          </w:p>
        </w:tc>
      </w:tr>
      <w:tr>
        <w:trPr/>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30</w:t>
            </w:r>
          </w:p>
        </w:tc>
        <w:tc>
          <w:tcPr>
            <w:tcW w:w="1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policromático - excedente a franquia SEM papel </w:t>
            </w:r>
          </w:p>
        </w:tc>
        <w:tc>
          <w:tcPr>
            <w:tcW w:w="9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10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1.000</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60.000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R$ 0,48</w:t>
            </w:r>
          </w:p>
        </w:tc>
        <w:tc>
          <w:tcPr>
            <w:tcW w:w="11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R$ 5.760,00</w:t>
            </w:r>
          </w:p>
        </w:tc>
        <w:tc>
          <w:tcPr>
            <w:tcW w:w="14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R$ 28.800,00</w:t>
            </w:r>
          </w:p>
        </w:tc>
      </w:tr>
      <w:tr>
        <w:trPr>
          <w:trHeight w:val="220" w:hRule="atLeast"/>
        </w:trPr>
        <w:tc>
          <w:tcPr>
            <w:tcW w:w="7364"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right"/>
              <w:rPr>
                <w:color w:val="000000"/>
              </w:rPr>
            </w:pPr>
            <w:r>
              <w:rPr>
                <w:rFonts w:eastAsia="Times New Roman" w:cs="Arial" w:ascii="Arial" w:hAnsi="Arial"/>
                <w:b/>
                <w:bCs/>
                <w:color w:val="000000"/>
                <w:sz w:val="16"/>
                <w:szCs w:val="16"/>
              </w:rPr>
              <w:t>TOTAL</w:t>
            </w:r>
          </w:p>
        </w:tc>
        <w:tc>
          <w:tcPr>
            <w:tcW w:w="11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81.240,00</w:t>
            </w:r>
          </w:p>
        </w:tc>
        <w:tc>
          <w:tcPr>
            <w:tcW w:w="14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406.200,00</w:t>
            </w:r>
          </w:p>
        </w:tc>
      </w:tr>
    </w:tbl>
    <w:p>
      <w:pPr>
        <w:pStyle w:val="Normal"/>
        <w:rPr>
          <w:color w:val="000000"/>
        </w:rPr>
      </w:pPr>
      <w:r>
        <w:rPr>
          <w:color w:val="000000"/>
        </w:rPr>
      </w:r>
    </w:p>
    <w:tbl>
      <w:tblPr>
        <w:tblW w:w="9781"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36"/>
        <w:gridCol w:w="1627"/>
        <w:gridCol w:w="993"/>
        <w:gridCol w:w="990"/>
        <w:gridCol w:w="711"/>
        <w:gridCol w:w="990"/>
        <w:gridCol w:w="1279"/>
        <w:gridCol w:w="1131"/>
        <w:gridCol w:w="1423"/>
      </w:tblGrid>
      <w:tr>
        <w:trPr/>
        <w:tc>
          <w:tcPr>
            <w:tcW w:w="9780"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GRUPO 7 – CAMPUS VENÂNCIO AIRES</w:t>
            </w:r>
          </w:p>
        </w:tc>
      </w:tr>
      <w:tr>
        <w:trPr/>
        <w:tc>
          <w:tcPr>
            <w:tcW w:w="6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6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1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(CINCO ANOS)</w:t>
            </w:r>
          </w:p>
        </w:tc>
      </w:tr>
      <w:tr>
        <w:trPr/>
        <w:tc>
          <w:tcPr>
            <w:tcW w:w="6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31</w:t>
            </w:r>
          </w:p>
        </w:tc>
        <w:tc>
          <w:tcPr>
            <w:tcW w:w="16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dentro da franquia SEM papel </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10.800</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648.000</w:t>
            </w:r>
          </w:p>
        </w:tc>
        <w:tc>
          <w:tcPr>
            <w:tcW w:w="12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R$ 0,29</w:t>
            </w:r>
          </w:p>
        </w:tc>
        <w:tc>
          <w:tcPr>
            <w:tcW w:w="11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R$ 37.584,00</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R$ 187.920,00</w:t>
            </w:r>
          </w:p>
        </w:tc>
      </w:tr>
      <w:tr>
        <w:trPr/>
        <w:tc>
          <w:tcPr>
            <w:tcW w:w="6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32</w:t>
            </w:r>
          </w:p>
        </w:tc>
        <w:tc>
          <w:tcPr>
            <w:tcW w:w="16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excedente a franquia SEM papel </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7.200</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432.000</w:t>
            </w:r>
          </w:p>
        </w:tc>
        <w:tc>
          <w:tcPr>
            <w:tcW w:w="12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R$ 0,11</w:t>
            </w:r>
          </w:p>
        </w:tc>
        <w:tc>
          <w:tcPr>
            <w:tcW w:w="11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R$ 9.504,00</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R$ 47.520,00</w:t>
            </w:r>
          </w:p>
        </w:tc>
      </w:tr>
      <w:tr>
        <w:trPr/>
        <w:tc>
          <w:tcPr>
            <w:tcW w:w="6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33</w:t>
            </w:r>
          </w:p>
        </w:tc>
        <w:tc>
          <w:tcPr>
            <w:tcW w:w="16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dentro da</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franquia SEM papel </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2.000</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120.000</w:t>
            </w:r>
          </w:p>
        </w:tc>
        <w:tc>
          <w:tcPr>
            <w:tcW w:w="12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R$ 0,91</w:t>
            </w:r>
          </w:p>
        </w:tc>
        <w:tc>
          <w:tcPr>
            <w:tcW w:w="11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R$ 21.840,00</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R$ 109.200,00</w:t>
            </w:r>
          </w:p>
        </w:tc>
      </w:tr>
      <w:tr>
        <w:trPr>
          <w:trHeight w:val="1593" w:hRule="atLeast"/>
        </w:trPr>
        <w:tc>
          <w:tcPr>
            <w:tcW w:w="6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34</w:t>
            </w:r>
          </w:p>
        </w:tc>
        <w:tc>
          <w:tcPr>
            <w:tcW w:w="16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 policromático - excedente a franquia SEM papel </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2.000</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120.000</w:t>
            </w:r>
          </w:p>
        </w:tc>
        <w:tc>
          <w:tcPr>
            <w:tcW w:w="12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R$ 0,47</w:t>
            </w:r>
          </w:p>
        </w:tc>
        <w:tc>
          <w:tcPr>
            <w:tcW w:w="11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R$ 11.280,00</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R$ 56.400,00</w:t>
            </w:r>
          </w:p>
        </w:tc>
      </w:tr>
      <w:tr>
        <w:trPr>
          <w:trHeight w:val="220" w:hRule="atLeast"/>
        </w:trPr>
        <w:tc>
          <w:tcPr>
            <w:tcW w:w="7226"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right"/>
              <w:rPr>
                <w:color w:val="000000"/>
              </w:rPr>
            </w:pPr>
            <w:r>
              <w:rPr>
                <w:rFonts w:eastAsia="Times New Roman" w:cs="Arial" w:ascii="Arial" w:hAnsi="Arial"/>
                <w:b/>
                <w:bCs/>
                <w:color w:val="000000"/>
                <w:sz w:val="16"/>
                <w:szCs w:val="16"/>
              </w:rPr>
              <w:t>TOTAL</w:t>
            </w:r>
          </w:p>
        </w:tc>
        <w:tc>
          <w:tcPr>
            <w:tcW w:w="11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80.208,00</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401.040,00</w:t>
            </w:r>
          </w:p>
        </w:tc>
      </w:tr>
    </w:tbl>
    <w:p>
      <w:pPr>
        <w:pStyle w:val="Normal"/>
        <w:rPr>
          <w:color w:val="000000"/>
        </w:rPr>
      </w:pPr>
      <w:r>
        <w:rPr>
          <w:color w:val="000000"/>
        </w:rPr>
      </w:r>
    </w:p>
    <w:tbl>
      <w:tblPr>
        <w:tblW w:w="9801"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44"/>
        <w:gridCol w:w="1642"/>
        <w:gridCol w:w="994"/>
        <w:gridCol w:w="992"/>
        <w:gridCol w:w="707"/>
        <w:gridCol w:w="992"/>
        <w:gridCol w:w="1276"/>
        <w:gridCol w:w="1134"/>
        <w:gridCol w:w="1419"/>
      </w:tblGrid>
      <w:tr>
        <w:trPr/>
        <w:tc>
          <w:tcPr>
            <w:tcW w:w="9800"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GRUPO 8 – CAMPUS SANTANA DO LIVRAMENTO</w:t>
            </w:r>
          </w:p>
        </w:tc>
      </w:tr>
      <w:tr>
        <w:trPr/>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ind w:hanging="32"/>
              <w:jc w:val="center"/>
              <w:rPr>
                <w:color w:val="000000"/>
              </w:rPr>
            </w:pPr>
            <w:r>
              <w:rPr>
                <w:rFonts w:eastAsia="Times New Roman" w:cs="Arial" w:ascii="Arial" w:hAnsi="Arial"/>
                <w:b/>
                <w:bCs/>
                <w:color w:val="000000"/>
                <w:sz w:val="16"/>
                <w:szCs w:val="16"/>
              </w:rPr>
              <w:t>ITEM</w:t>
            </w:r>
          </w:p>
        </w:tc>
        <w:tc>
          <w:tcPr>
            <w:tcW w:w="16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(CINCO ANOS)</w:t>
            </w:r>
          </w:p>
        </w:tc>
      </w:tr>
      <w:tr>
        <w:trPr/>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35</w:t>
            </w:r>
          </w:p>
        </w:tc>
        <w:tc>
          <w:tcPr>
            <w:tcW w:w="16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both"/>
              <w:rPr>
                <w:color w:val="000000"/>
              </w:rPr>
            </w:pPr>
            <w:r>
              <w:rPr>
                <w:rFonts w:eastAsia="Times New Roman" w:cs="Arial" w:ascii="Arial" w:hAnsi="Arial"/>
                <w:color w:val="000000"/>
                <w:sz w:val="16"/>
                <w:szCs w:val="16"/>
              </w:rPr>
              <w:t>Outsourcing de impressão - páginas A4 -</w:t>
            </w:r>
          </w:p>
          <w:p>
            <w:pPr>
              <w:pStyle w:val="Normal"/>
              <w:widowControl w:val="false"/>
              <w:spacing w:before="57" w:after="57"/>
              <w:jc w:val="both"/>
              <w:rPr>
                <w:color w:val="000000"/>
              </w:rPr>
            </w:pPr>
            <w:r>
              <w:rPr>
                <w:rFonts w:eastAsia="Times New Roman" w:cs="Arial" w:ascii="Arial" w:hAnsi="Arial"/>
                <w:color w:val="000000"/>
                <w:sz w:val="16"/>
                <w:szCs w:val="16"/>
              </w:rPr>
              <w:t>monocromático - dentro da franquia SEM papel </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4.826</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289.560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R$ 0,51</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w:t>
            </w:r>
          </w:p>
          <w:p>
            <w:pPr>
              <w:pStyle w:val="Normal"/>
              <w:widowControl w:val="false"/>
              <w:spacing w:before="1" w:after="0"/>
              <w:ind w:left="15" w:hanging="0"/>
              <w:jc w:val="center"/>
              <w:rPr>
                <w:color w:val="000000"/>
              </w:rPr>
            </w:pPr>
            <w:r>
              <w:rPr>
                <w:rFonts w:eastAsia="Times New Roman" w:cs="Arial" w:ascii="Arial" w:hAnsi="Arial"/>
                <w:color w:val="000000"/>
                <w:sz w:val="16"/>
                <w:szCs w:val="16"/>
              </w:rPr>
              <w:t>29.535,12</w:t>
            </w:r>
          </w:p>
        </w:tc>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w:t>
            </w:r>
          </w:p>
          <w:p>
            <w:pPr>
              <w:pStyle w:val="Normal"/>
              <w:widowControl w:val="false"/>
              <w:spacing w:before="57" w:after="57"/>
              <w:jc w:val="center"/>
              <w:rPr>
                <w:color w:val="000000"/>
              </w:rPr>
            </w:pPr>
            <w:r>
              <w:rPr>
                <w:rFonts w:eastAsia="Times New Roman" w:cs="Arial" w:ascii="Arial" w:hAnsi="Arial"/>
                <w:color w:val="000000"/>
                <w:sz w:val="16"/>
                <w:szCs w:val="16"/>
              </w:rPr>
              <w:t>147.675,60</w:t>
            </w:r>
          </w:p>
        </w:tc>
      </w:tr>
      <w:tr>
        <w:trPr/>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36</w:t>
            </w:r>
          </w:p>
        </w:tc>
        <w:tc>
          <w:tcPr>
            <w:tcW w:w="16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both"/>
              <w:rPr>
                <w:color w:val="000000"/>
              </w:rPr>
            </w:pPr>
            <w:r>
              <w:rPr>
                <w:rFonts w:eastAsia="Times New Roman" w:cs="Arial" w:ascii="Arial" w:hAnsi="Arial"/>
                <w:color w:val="000000"/>
                <w:sz w:val="16"/>
                <w:szCs w:val="16"/>
              </w:rPr>
              <w:t>Outsourcing de impressão - páginas A4 -</w:t>
            </w:r>
          </w:p>
          <w:p>
            <w:pPr>
              <w:pStyle w:val="Normal"/>
              <w:widowControl w:val="false"/>
              <w:spacing w:before="57" w:after="57"/>
              <w:jc w:val="both"/>
              <w:rPr>
                <w:color w:val="000000"/>
              </w:rPr>
            </w:pPr>
            <w:r>
              <w:rPr>
                <w:rFonts w:eastAsia="Times New Roman" w:cs="Arial" w:ascii="Arial" w:hAnsi="Arial"/>
                <w:color w:val="000000"/>
                <w:sz w:val="16"/>
                <w:szCs w:val="16"/>
              </w:rPr>
              <w:t>monocromático - excedente a franquia SEM papel </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3.217</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193.020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R$ 0,17</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w:t>
            </w:r>
          </w:p>
          <w:p>
            <w:pPr>
              <w:pStyle w:val="Normal"/>
              <w:widowControl w:val="false"/>
              <w:ind w:left="15" w:hanging="0"/>
              <w:jc w:val="center"/>
              <w:rPr>
                <w:color w:val="000000"/>
              </w:rPr>
            </w:pPr>
            <w:r>
              <w:rPr>
                <w:rFonts w:eastAsia="Times New Roman" w:cs="Arial" w:ascii="Arial" w:hAnsi="Arial"/>
                <w:color w:val="000000"/>
                <w:sz w:val="16"/>
                <w:szCs w:val="16"/>
              </w:rPr>
              <w:t>6562,68</w:t>
            </w:r>
          </w:p>
          <w:p>
            <w:pPr>
              <w:pStyle w:val="Normal"/>
              <w:widowControl w:val="false"/>
              <w:ind w:left="15" w:hanging="0"/>
              <w:jc w:val="center"/>
              <w:rPr>
                <w:rFonts w:ascii="Arial" w:hAnsi="Arial" w:eastAsia="Times New Roman" w:cs="Arial"/>
                <w:color w:val="000000"/>
                <w:sz w:val="16"/>
                <w:szCs w:val="16"/>
              </w:rPr>
            </w:pPr>
            <w:r>
              <w:rPr>
                <w:rFonts w:eastAsia="Times New Roman" w:cs="Arial" w:ascii="Arial" w:hAnsi="Arial"/>
                <w:color w:val="000000"/>
                <w:sz w:val="16"/>
                <w:szCs w:val="16"/>
              </w:rPr>
            </w:r>
          </w:p>
        </w:tc>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w:t>
            </w:r>
          </w:p>
          <w:p>
            <w:pPr>
              <w:pStyle w:val="Normal"/>
              <w:widowControl w:val="false"/>
              <w:spacing w:before="57" w:after="57"/>
              <w:jc w:val="center"/>
              <w:rPr>
                <w:color w:val="000000"/>
              </w:rPr>
            </w:pPr>
            <w:r>
              <w:rPr>
                <w:rFonts w:eastAsia="Times New Roman" w:cs="Arial" w:ascii="Arial" w:hAnsi="Arial"/>
                <w:color w:val="000000"/>
                <w:sz w:val="16"/>
                <w:szCs w:val="16"/>
              </w:rPr>
              <w:t>32.813,40</w:t>
            </w:r>
          </w:p>
        </w:tc>
      </w:tr>
      <w:tr>
        <w:trPr/>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37</w:t>
            </w:r>
          </w:p>
        </w:tc>
        <w:tc>
          <w:tcPr>
            <w:tcW w:w="16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both"/>
              <w:rPr>
                <w:color w:val="000000"/>
              </w:rPr>
            </w:pPr>
            <w:r>
              <w:rPr>
                <w:rFonts w:eastAsia="Times New Roman" w:cs="Arial" w:ascii="Arial" w:hAnsi="Arial"/>
                <w:color w:val="000000"/>
                <w:sz w:val="16"/>
                <w:szCs w:val="16"/>
              </w:rPr>
              <w:t>Outsourcing de impressão - páginas A4 -</w:t>
            </w:r>
          </w:p>
          <w:p>
            <w:pPr>
              <w:pStyle w:val="Normal"/>
              <w:widowControl w:val="false"/>
              <w:spacing w:before="57" w:after="57"/>
              <w:jc w:val="both"/>
              <w:rPr>
                <w:color w:val="000000"/>
              </w:rPr>
            </w:pPr>
            <w:r>
              <w:rPr>
                <w:rFonts w:eastAsia="Times New Roman" w:cs="Arial" w:ascii="Arial" w:hAnsi="Arial"/>
                <w:color w:val="000000"/>
                <w:sz w:val="16"/>
                <w:szCs w:val="16"/>
              </w:rPr>
              <w:t>policromático - dentro da</w:t>
            </w:r>
          </w:p>
          <w:p>
            <w:pPr>
              <w:pStyle w:val="Normal"/>
              <w:widowControl w:val="false"/>
              <w:spacing w:before="57" w:after="57"/>
              <w:jc w:val="both"/>
              <w:rPr>
                <w:color w:val="000000"/>
              </w:rPr>
            </w:pPr>
            <w:r>
              <w:rPr>
                <w:rFonts w:eastAsia="Times New Roman" w:cs="Arial" w:ascii="Arial" w:hAnsi="Arial"/>
                <w:color w:val="000000"/>
                <w:sz w:val="16"/>
                <w:szCs w:val="16"/>
              </w:rPr>
              <w:t>franquia SEM papel </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2.133</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127.980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R$ 1,13</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w:t>
            </w:r>
          </w:p>
          <w:p>
            <w:pPr>
              <w:pStyle w:val="Normal"/>
              <w:widowControl w:val="false"/>
              <w:ind w:left="15" w:hanging="0"/>
              <w:jc w:val="center"/>
              <w:rPr>
                <w:color w:val="000000"/>
              </w:rPr>
            </w:pPr>
            <w:r>
              <w:rPr>
                <w:rFonts w:eastAsia="Times New Roman" w:cs="Arial" w:ascii="Arial" w:hAnsi="Arial"/>
                <w:color w:val="000000"/>
                <w:sz w:val="16"/>
                <w:szCs w:val="16"/>
              </w:rPr>
              <w:t>28.923,48</w:t>
            </w:r>
          </w:p>
          <w:p>
            <w:pPr>
              <w:pStyle w:val="Normal"/>
              <w:widowControl w:val="false"/>
              <w:jc w:val="center"/>
              <w:rPr>
                <w:rFonts w:ascii="Arial" w:hAnsi="Arial" w:eastAsia="Times New Roman" w:cs="Arial"/>
                <w:color w:val="000000"/>
                <w:sz w:val="16"/>
                <w:szCs w:val="16"/>
              </w:rPr>
            </w:pPr>
            <w:r>
              <w:rPr>
                <w:rFonts w:eastAsia="Times New Roman" w:cs="Arial" w:ascii="Arial" w:hAnsi="Arial"/>
                <w:color w:val="000000"/>
                <w:sz w:val="16"/>
                <w:szCs w:val="16"/>
              </w:rPr>
            </w:r>
          </w:p>
        </w:tc>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w:t>
            </w:r>
          </w:p>
          <w:p>
            <w:pPr>
              <w:pStyle w:val="Normal"/>
              <w:widowControl w:val="false"/>
              <w:spacing w:before="57" w:after="57"/>
              <w:jc w:val="center"/>
              <w:rPr>
                <w:color w:val="000000"/>
              </w:rPr>
            </w:pPr>
            <w:r>
              <w:rPr>
                <w:rFonts w:eastAsia="Times New Roman" w:cs="Arial" w:ascii="Arial" w:hAnsi="Arial"/>
                <w:color w:val="000000"/>
                <w:sz w:val="16"/>
                <w:szCs w:val="16"/>
              </w:rPr>
              <w:t>144.617,40</w:t>
            </w:r>
          </w:p>
        </w:tc>
      </w:tr>
      <w:tr>
        <w:trPr/>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38</w:t>
            </w:r>
          </w:p>
        </w:tc>
        <w:tc>
          <w:tcPr>
            <w:tcW w:w="16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both"/>
              <w:rPr>
                <w:color w:val="000000"/>
              </w:rPr>
            </w:pPr>
            <w:r>
              <w:rPr>
                <w:rFonts w:eastAsia="Times New Roman" w:cs="Arial" w:ascii="Arial" w:hAnsi="Arial"/>
                <w:color w:val="000000"/>
                <w:sz w:val="16"/>
                <w:szCs w:val="16"/>
              </w:rPr>
              <w:t>Outsourcing de impressão - páginas A4 -</w:t>
            </w:r>
          </w:p>
          <w:p>
            <w:pPr>
              <w:pStyle w:val="Normal"/>
              <w:widowControl w:val="false"/>
              <w:spacing w:before="57" w:after="57"/>
              <w:jc w:val="both"/>
              <w:rPr>
                <w:color w:val="000000"/>
              </w:rPr>
            </w:pPr>
            <w:r>
              <w:rPr>
                <w:rFonts w:eastAsia="Times New Roman" w:cs="Arial" w:ascii="Arial" w:hAnsi="Arial"/>
                <w:color w:val="000000"/>
                <w:sz w:val="16"/>
                <w:szCs w:val="16"/>
              </w:rPr>
              <w:t>policromático - excedente a franquia SEM papel </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1.422</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85.320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R$ 0,51</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w:t>
            </w:r>
          </w:p>
          <w:p>
            <w:pPr>
              <w:pStyle w:val="Normal"/>
              <w:widowControl w:val="false"/>
              <w:ind w:left="15" w:hanging="0"/>
              <w:jc w:val="center"/>
              <w:rPr>
                <w:color w:val="000000"/>
              </w:rPr>
            </w:pPr>
            <w:r>
              <w:rPr>
                <w:rFonts w:eastAsia="Times New Roman" w:cs="Arial" w:ascii="Arial" w:hAnsi="Arial"/>
                <w:color w:val="000000"/>
                <w:sz w:val="16"/>
                <w:szCs w:val="16"/>
              </w:rPr>
              <w:t>8.702,64</w:t>
            </w:r>
          </w:p>
          <w:p>
            <w:pPr>
              <w:pStyle w:val="Normal"/>
              <w:widowControl w:val="false"/>
              <w:jc w:val="center"/>
              <w:rPr>
                <w:rFonts w:ascii="Arial" w:hAnsi="Arial" w:eastAsia="Times New Roman" w:cs="Arial"/>
                <w:color w:val="000000"/>
                <w:sz w:val="16"/>
                <w:szCs w:val="16"/>
              </w:rPr>
            </w:pPr>
            <w:r>
              <w:rPr>
                <w:rFonts w:eastAsia="Times New Roman" w:cs="Arial" w:ascii="Arial" w:hAnsi="Arial"/>
                <w:color w:val="000000"/>
                <w:sz w:val="16"/>
                <w:szCs w:val="16"/>
              </w:rPr>
            </w:r>
          </w:p>
        </w:tc>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w:t>
            </w:r>
          </w:p>
          <w:p>
            <w:pPr>
              <w:pStyle w:val="Normal"/>
              <w:widowControl w:val="false"/>
              <w:spacing w:before="57" w:after="57"/>
              <w:jc w:val="center"/>
              <w:rPr>
                <w:color w:val="000000"/>
              </w:rPr>
            </w:pPr>
            <w:r>
              <w:rPr>
                <w:rFonts w:eastAsia="Times New Roman" w:cs="Arial" w:ascii="Arial" w:hAnsi="Arial"/>
                <w:color w:val="000000"/>
                <w:sz w:val="16"/>
                <w:szCs w:val="16"/>
              </w:rPr>
              <w:t>43.513,20</w:t>
            </w:r>
          </w:p>
        </w:tc>
      </w:tr>
      <w:tr>
        <w:trPr>
          <w:trHeight w:val="220" w:hRule="atLeast"/>
        </w:trPr>
        <w:tc>
          <w:tcPr>
            <w:tcW w:w="7247"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right"/>
              <w:rPr>
                <w:color w:val="000000"/>
              </w:rPr>
            </w:pPr>
            <w:r>
              <w:rPr>
                <w:rFonts w:eastAsia="Times New Roman" w:cs="Arial" w:ascii="Arial" w:hAnsi="Arial"/>
                <w:b/>
                <w:bCs/>
                <w:color w:val="000000"/>
                <w:sz w:val="16"/>
                <w:szCs w:val="16"/>
              </w:rPr>
              <w:t>TOTAL</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 xml:space="preserve">R$ </w:t>
            </w:r>
          </w:p>
          <w:p>
            <w:pPr>
              <w:pStyle w:val="Normal"/>
              <w:widowControl w:val="false"/>
              <w:jc w:val="center"/>
              <w:rPr>
                <w:color w:val="000000"/>
              </w:rPr>
            </w:pPr>
            <w:r>
              <w:rPr>
                <w:rFonts w:eastAsia="Times New Roman" w:cs="Arial" w:ascii="Arial" w:hAnsi="Arial"/>
                <w:color w:val="000000"/>
                <w:sz w:val="16"/>
                <w:szCs w:val="16"/>
              </w:rPr>
              <w:t>73.723,92</w:t>
            </w:r>
          </w:p>
        </w:tc>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R$ 368.619,60</w:t>
            </w:r>
          </w:p>
        </w:tc>
      </w:tr>
    </w:tbl>
    <w:p>
      <w:pPr>
        <w:pStyle w:val="Normal"/>
        <w:rPr>
          <w:color w:val="000000"/>
        </w:rPr>
      </w:pPr>
      <w:r>
        <w:rPr>
          <w:color w:val="000000"/>
        </w:rPr>
      </w:r>
    </w:p>
    <w:tbl>
      <w:tblPr>
        <w:tblW w:w="9781"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709"/>
        <w:gridCol w:w="1560"/>
        <w:gridCol w:w="991"/>
        <w:gridCol w:w="991"/>
        <w:gridCol w:w="709"/>
        <w:gridCol w:w="992"/>
        <w:gridCol w:w="1279"/>
        <w:gridCol w:w="1153"/>
        <w:gridCol w:w="1396"/>
      </w:tblGrid>
      <w:tr>
        <w:trPr/>
        <w:tc>
          <w:tcPr>
            <w:tcW w:w="9780"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GRUPO 9 – CAMPUS GRAVATAÍ</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3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(CINCO ANOS)</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39</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monocromático - dentro da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8.000</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480.000</w:t>
            </w:r>
          </w:p>
        </w:tc>
        <w:tc>
          <w:tcPr>
            <w:tcW w:w="12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R$ 0,39</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R$ 37.740,00</w:t>
            </w:r>
          </w:p>
        </w:tc>
        <w:tc>
          <w:tcPr>
            <w:tcW w:w="13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R$ 187.200,00</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40</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monocromático - excedente 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4.000</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240.000</w:t>
            </w:r>
          </w:p>
        </w:tc>
        <w:tc>
          <w:tcPr>
            <w:tcW w:w="12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R$ 0,14</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R$ 6.720,00</w:t>
            </w:r>
          </w:p>
        </w:tc>
        <w:tc>
          <w:tcPr>
            <w:tcW w:w="13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R$ 33.600,00</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41</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policromático - dentro da</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1300</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78.000</w:t>
            </w:r>
          </w:p>
        </w:tc>
        <w:tc>
          <w:tcPr>
            <w:tcW w:w="12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R$ 1,01</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R$ 15.756,00</w:t>
            </w:r>
          </w:p>
        </w:tc>
        <w:tc>
          <w:tcPr>
            <w:tcW w:w="13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R$ 78.780,00</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42</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policromático - excedente 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700</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42.000</w:t>
            </w:r>
          </w:p>
        </w:tc>
        <w:tc>
          <w:tcPr>
            <w:tcW w:w="12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R$ 0,48</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R$ 4.032,00</w:t>
            </w:r>
          </w:p>
        </w:tc>
        <w:tc>
          <w:tcPr>
            <w:tcW w:w="13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R$ 20.160,00</w:t>
            </w:r>
          </w:p>
        </w:tc>
      </w:tr>
      <w:tr>
        <w:trPr>
          <w:trHeight w:val="220" w:hRule="atLeast"/>
        </w:trPr>
        <w:tc>
          <w:tcPr>
            <w:tcW w:w="7231"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right"/>
              <w:rPr>
                <w:color w:val="000000"/>
              </w:rPr>
            </w:pPr>
            <w:r>
              <w:rPr>
                <w:rFonts w:eastAsia="Times New Roman" w:cs="Arial" w:ascii="Arial" w:hAnsi="Arial"/>
                <w:b/>
                <w:bCs/>
                <w:color w:val="000000"/>
                <w:sz w:val="16"/>
                <w:szCs w:val="16"/>
              </w:rPr>
              <w:t>TOTAL</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63.948,00</w:t>
            </w:r>
          </w:p>
        </w:tc>
        <w:tc>
          <w:tcPr>
            <w:tcW w:w="13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319.740,00</w:t>
            </w:r>
          </w:p>
        </w:tc>
      </w:tr>
    </w:tbl>
    <w:p>
      <w:pPr>
        <w:pStyle w:val="Normal"/>
        <w:rPr>
          <w:color w:val="000000"/>
        </w:rPr>
      </w:pPr>
      <w:r>
        <w:rPr>
          <w:color w:val="000000"/>
        </w:rPr>
      </w:r>
    </w:p>
    <w:tbl>
      <w:tblPr>
        <w:tblW w:w="9781"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33"/>
        <w:gridCol w:w="1568"/>
        <w:gridCol w:w="913"/>
        <w:gridCol w:w="992"/>
        <w:gridCol w:w="709"/>
        <w:gridCol w:w="991"/>
        <w:gridCol w:w="1277"/>
        <w:gridCol w:w="1274"/>
        <w:gridCol w:w="1423"/>
      </w:tblGrid>
      <w:tr>
        <w:trPr/>
        <w:tc>
          <w:tcPr>
            <w:tcW w:w="9780"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GRUPO 10 – CAMPUS LAJEADO</w:t>
            </w:r>
          </w:p>
        </w:tc>
      </w:tr>
      <w:tr>
        <w:trPr/>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5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(CINCO ANOS)</w:t>
            </w:r>
          </w:p>
        </w:tc>
      </w:tr>
      <w:tr>
        <w:trPr/>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43</w:t>
            </w:r>
          </w:p>
        </w:tc>
        <w:tc>
          <w:tcPr>
            <w:tcW w:w="15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dentro da franquia SEM papel </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15.000</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rFonts w:ascii="Arial" w:hAnsi="Arial" w:eastAsia="Times New Roman" w:cs="Arial"/>
                <w:color w:val="000000"/>
                <w:sz w:val="16"/>
                <w:szCs w:val="16"/>
              </w:rPr>
            </w:pPr>
            <w:r>
              <w:rPr>
                <w:rFonts w:eastAsia="Times New Roman" w:cs="Arial" w:ascii="Arial" w:hAnsi="Arial"/>
                <w:color w:val="000000"/>
                <w:sz w:val="16"/>
                <w:szCs w:val="16"/>
              </w:rPr>
            </w:r>
          </w:p>
          <w:p>
            <w:pPr>
              <w:pStyle w:val="Normal"/>
              <w:widowControl w:val="false"/>
              <w:spacing w:before="57" w:after="57"/>
              <w:jc w:val="center"/>
              <w:rPr>
                <w:color w:val="000000"/>
              </w:rPr>
            </w:pPr>
            <w:r>
              <w:rPr>
                <w:rFonts w:eastAsia="Times New Roman" w:cs="Arial" w:ascii="Arial" w:hAnsi="Arial"/>
                <w:color w:val="000000"/>
                <w:sz w:val="16"/>
                <w:szCs w:val="16"/>
              </w:rPr>
              <w:t>900.000</w:t>
            </w:r>
          </w:p>
          <w:p>
            <w:pPr>
              <w:pStyle w:val="Normal"/>
              <w:widowControl w:val="false"/>
              <w:spacing w:before="57" w:after="57"/>
              <w:jc w:val="center"/>
              <w:rPr>
                <w:rFonts w:ascii="Arial" w:hAnsi="Arial" w:eastAsia="Times New Roman" w:cs="Arial"/>
                <w:color w:val="000000"/>
                <w:sz w:val="16"/>
                <w:szCs w:val="16"/>
              </w:rPr>
            </w:pPr>
            <w:r>
              <w:rPr>
                <w:rFonts w:eastAsia="Times New Roman" w:cs="Arial" w:ascii="Arial" w:hAnsi="Arial"/>
                <w:color w:val="000000"/>
                <w:sz w:val="16"/>
                <w:szCs w:val="16"/>
              </w:rPr>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R$ 0,26</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R$ 46.800,00</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R$ 234.000,00</w:t>
            </w:r>
          </w:p>
        </w:tc>
      </w:tr>
      <w:tr>
        <w:trPr/>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44</w:t>
            </w:r>
          </w:p>
        </w:tc>
        <w:tc>
          <w:tcPr>
            <w:tcW w:w="15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excedente a franquia SEM papel </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10.000</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600.000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R$ 0,10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R$ 12.000,00</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R$ 60.000,00</w:t>
            </w:r>
          </w:p>
        </w:tc>
      </w:tr>
      <w:tr>
        <w:trPr/>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45</w:t>
            </w:r>
          </w:p>
        </w:tc>
        <w:tc>
          <w:tcPr>
            <w:tcW w:w="15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dentro da</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franquia SEM papel </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600</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36.000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R$ 0,89</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R$ 6.408,00</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R$ 32.040,00</w:t>
            </w:r>
          </w:p>
        </w:tc>
      </w:tr>
      <w:tr>
        <w:trPr>
          <w:trHeight w:val="1176" w:hRule="atLeast"/>
        </w:trPr>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46</w:t>
            </w:r>
          </w:p>
        </w:tc>
        <w:tc>
          <w:tcPr>
            <w:tcW w:w="15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excedente a franquia SEM papel </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400</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24.000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R$ 0,45</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R$ 2.160,00</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R$ 10.800,00</w:t>
            </w:r>
          </w:p>
        </w:tc>
      </w:tr>
      <w:tr>
        <w:trPr>
          <w:trHeight w:val="220" w:hRule="atLeast"/>
        </w:trPr>
        <w:tc>
          <w:tcPr>
            <w:tcW w:w="7083"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right"/>
              <w:rPr>
                <w:color w:val="000000"/>
              </w:rPr>
            </w:pPr>
            <w:r>
              <w:rPr>
                <w:rFonts w:eastAsia="Times New Roman" w:cs="Arial" w:ascii="Arial" w:hAnsi="Arial"/>
                <w:b/>
                <w:bCs/>
                <w:color w:val="000000"/>
                <w:sz w:val="16"/>
                <w:szCs w:val="16"/>
              </w:rPr>
              <w:t>TOTAL</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67.368,00</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336.840,00</w:t>
            </w:r>
          </w:p>
        </w:tc>
      </w:tr>
    </w:tbl>
    <w:p>
      <w:pPr>
        <w:pStyle w:val="Normal"/>
        <w:rPr>
          <w:color w:val="000000"/>
        </w:rPr>
      </w:pPr>
      <w:r>
        <w:rPr>
          <w:color w:val="000000"/>
        </w:rPr>
      </w:r>
    </w:p>
    <w:tbl>
      <w:tblPr>
        <w:tblW w:w="9775"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37"/>
        <w:gridCol w:w="1623"/>
        <w:gridCol w:w="996"/>
        <w:gridCol w:w="992"/>
        <w:gridCol w:w="707"/>
        <w:gridCol w:w="995"/>
        <w:gridCol w:w="1273"/>
        <w:gridCol w:w="1134"/>
        <w:gridCol w:w="1417"/>
      </w:tblGrid>
      <w:tr>
        <w:trPr/>
        <w:tc>
          <w:tcPr>
            <w:tcW w:w="9774"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GRUPO 11 – CAMPUS SAPIRANGA</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6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(CINCO ANOS)</w:t>
            </w:r>
          </w:p>
        </w:tc>
      </w:tr>
      <w:tr>
        <w:trPr>
          <w:trHeight w:val="984" w:hRule="atLeast"/>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47</w:t>
            </w:r>
          </w:p>
        </w:tc>
        <w:tc>
          <w:tcPr>
            <w:tcW w:w="16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dentro da franquia SEM papel </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12.000</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720.000</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R$ 0,26</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R$ 37.440,00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R$ 187.200,00</w:t>
            </w:r>
          </w:p>
        </w:tc>
      </w:tr>
      <w:tr>
        <w:trPr>
          <w:trHeight w:val="1171" w:hRule="atLeast"/>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48</w:t>
            </w:r>
          </w:p>
        </w:tc>
        <w:tc>
          <w:tcPr>
            <w:tcW w:w="16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monocromático - excedente a franquia SEM papel </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8.000</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480.000</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R$ 0,10</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R$ 9.600,00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R$ 48.000,00</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49</w:t>
            </w:r>
          </w:p>
        </w:tc>
        <w:tc>
          <w:tcPr>
            <w:tcW w:w="16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policromático - dentro da</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franquia SEM papel </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1.500</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90.000</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R$ 0,74</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R$ 13.320,00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R$ 66.6</w:t>
            </w:r>
            <w:bookmarkStart w:id="0" w:name="_GoBack"/>
            <w:bookmarkEnd w:id="0"/>
            <w:r>
              <w:rPr>
                <w:rFonts w:eastAsia="Times New Roman" w:cs="Arial" w:ascii="Arial" w:hAnsi="Arial"/>
                <w:color w:val="000000"/>
                <w:sz w:val="16"/>
                <w:szCs w:val="16"/>
              </w:rPr>
              <w:t>00,00</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50</w:t>
            </w:r>
          </w:p>
        </w:tc>
        <w:tc>
          <w:tcPr>
            <w:tcW w:w="16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policromático - excedente a franquia SEM papel </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1.000</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60.000</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R$ 0,39</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R$ 4.680,00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R$ 23.400,00</w:t>
            </w:r>
          </w:p>
        </w:tc>
      </w:tr>
      <w:tr>
        <w:trPr>
          <w:trHeight w:val="220" w:hRule="atLeast"/>
        </w:trPr>
        <w:tc>
          <w:tcPr>
            <w:tcW w:w="7223"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right"/>
              <w:rPr>
                <w:color w:val="000000"/>
              </w:rPr>
            </w:pPr>
            <w:r>
              <w:rPr>
                <w:rFonts w:eastAsia="Times New Roman" w:cs="Arial" w:ascii="Arial" w:hAnsi="Arial"/>
                <w:b/>
                <w:bCs/>
                <w:color w:val="000000"/>
                <w:sz w:val="16"/>
                <w:szCs w:val="16"/>
              </w:rPr>
              <w:t>TOTAL</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65.040,00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color w:val="000000"/>
                <w:sz w:val="16"/>
                <w:szCs w:val="16"/>
              </w:rPr>
              <w:t>325.200,00</w:t>
            </w:r>
          </w:p>
        </w:tc>
      </w:tr>
    </w:tbl>
    <w:p>
      <w:pPr>
        <w:pStyle w:val="Normal"/>
        <w:rPr>
          <w:color w:val="000000"/>
        </w:rPr>
      </w:pPr>
      <w:r>
        <w:rPr>
          <w:color w:val="000000"/>
        </w:rPr>
      </w:r>
    </w:p>
    <w:tbl>
      <w:tblPr>
        <w:tblW w:w="9775"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37"/>
        <w:gridCol w:w="1623"/>
        <w:gridCol w:w="996"/>
        <w:gridCol w:w="992"/>
        <w:gridCol w:w="707"/>
        <w:gridCol w:w="995"/>
        <w:gridCol w:w="1273"/>
        <w:gridCol w:w="1161"/>
        <w:gridCol w:w="1390"/>
      </w:tblGrid>
      <w:tr>
        <w:trPr/>
        <w:tc>
          <w:tcPr>
            <w:tcW w:w="9774"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GRUPO 12 – CAMPUS NOVO HAMBURGO</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6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1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3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(CINCO ANOS)</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51</w:t>
            </w:r>
          </w:p>
        </w:tc>
        <w:tc>
          <w:tcPr>
            <w:tcW w:w="16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dentro da franquia SEM papel </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15.000</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900.000</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R$ 0,32</w:t>
            </w:r>
          </w:p>
        </w:tc>
        <w:tc>
          <w:tcPr>
            <w:tcW w:w="11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R$ 57.600,00</w:t>
            </w:r>
          </w:p>
        </w:tc>
        <w:tc>
          <w:tcPr>
            <w:tcW w:w="13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R$ 288.000,00</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52</w:t>
            </w:r>
          </w:p>
        </w:tc>
        <w:tc>
          <w:tcPr>
            <w:tcW w:w="16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excedente a franquia SEM papel </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5.000</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300.000</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R$ 0,12</w:t>
            </w:r>
          </w:p>
        </w:tc>
        <w:tc>
          <w:tcPr>
            <w:tcW w:w="11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R$ 7.200,00</w:t>
            </w:r>
          </w:p>
        </w:tc>
        <w:tc>
          <w:tcPr>
            <w:tcW w:w="13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R$ 36.000,00</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53</w:t>
            </w:r>
          </w:p>
        </w:tc>
        <w:tc>
          <w:tcPr>
            <w:tcW w:w="16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dentro da</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franquia SEM papel </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2.000</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120.000</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R$ 0,85</w:t>
            </w:r>
          </w:p>
        </w:tc>
        <w:tc>
          <w:tcPr>
            <w:tcW w:w="11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R$ 20.400,00</w:t>
            </w:r>
          </w:p>
        </w:tc>
        <w:tc>
          <w:tcPr>
            <w:tcW w:w="13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R$ 102.000,00</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54</w:t>
            </w:r>
          </w:p>
        </w:tc>
        <w:tc>
          <w:tcPr>
            <w:tcW w:w="16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excedente a franquia SEM papel </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1.000</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60.000</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R$ 0,43</w:t>
            </w:r>
          </w:p>
        </w:tc>
        <w:tc>
          <w:tcPr>
            <w:tcW w:w="11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R$ 5.160,00</w:t>
            </w:r>
          </w:p>
        </w:tc>
        <w:tc>
          <w:tcPr>
            <w:tcW w:w="13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R$ 25.800,00</w:t>
            </w:r>
          </w:p>
        </w:tc>
      </w:tr>
      <w:tr>
        <w:trPr>
          <w:trHeight w:val="220" w:hRule="atLeast"/>
        </w:trPr>
        <w:tc>
          <w:tcPr>
            <w:tcW w:w="7223"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right"/>
              <w:rPr>
                <w:color w:val="000000"/>
              </w:rPr>
            </w:pPr>
            <w:r>
              <w:rPr>
                <w:rFonts w:eastAsia="Times New Roman" w:cs="Arial" w:ascii="Arial" w:hAnsi="Arial"/>
                <w:b/>
                <w:bCs/>
                <w:color w:val="000000"/>
                <w:sz w:val="16"/>
                <w:szCs w:val="16"/>
              </w:rPr>
              <w:t>TOTAL</w:t>
            </w:r>
          </w:p>
        </w:tc>
        <w:tc>
          <w:tcPr>
            <w:tcW w:w="11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90.360,00</w:t>
            </w:r>
          </w:p>
        </w:tc>
        <w:tc>
          <w:tcPr>
            <w:tcW w:w="13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451.800,00</w:t>
            </w:r>
          </w:p>
        </w:tc>
      </w:tr>
    </w:tbl>
    <w:p>
      <w:pPr>
        <w:pStyle w:val="Normal"/>
        <w:rPr>
          <w:color w:val="000000"/>
        </w:rPr>
      </w:pPr>
      <w:r>
        <w:rPr>
          <w:color w:val="000000"/>
        </w:rPr>
      </w:r>
    </w:p>
    <w:tbl>
      <w:tblPr>
        <w:tblW w:w="9775"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37"/>
        <w:gridCol w:w="1623"/>
        <w:gridCol w:w="876"/>
        <w:gridCol w:w="1112"/>
        <w:gridCol w:w="707"/>
        <w:gridCol w:w="995"/>
        <w:gridCol w:w="1273"/>
        <w:gridCol w:w="1161"/>
        <w:gridCol w:w="1390"/>
      </w:tblGrid>
      <w:tr>
        <w:trPr/>
        <w:tc>
          <w:tcPr>
            <w:tcW w:w="9774"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GRUPO 13 – CAMPUS JAGUARÃO</w:t>
            </w:r>
          </w:p>
        </w:tc>
      </w:tr>
      <w:tr>
        <w:trPr/>
        <w:tc>
          <w:tcPr>
            <w:tcW w:w="63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6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8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11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1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3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(CINCO ANOS)</w:t>
            </w:r>
          </w:p>
        </w:tc>
      </w:tr>
      <w:tr>
        <w:trPr/>
        <w:tc>
          <w:tcPr>
            <w:tcW w:w="63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55</w:t>
            </w:r>
          </w:p>
        </w:tc>
        <w:tc>
          <w:tcPr>
            <w:tcW w:w="16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dentro da franquia SEM papel </w:t>
            </w:r>
          </w:p>
        </w:tc>
        <w:tc>
          <w:tcPr>
            <w:tcW w:w="8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11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16.000</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960.000</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R$ 0,35</w:t>
            </w:r>
          </w:p>
        </w:tc>
        <w:tc>
          <w:tcPr>
            <w:tcW w:w="11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R$ 67.200,00</w:t>
            </w:r>
          </w:p>
        </w:tc>
        <w:tc>
          <w:tcPr>
            <w:tcW w:w="13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R$ 336.000,00</w:t>
            </w:r>
          </w:p>
        </w:tc>
      </w:tr>
      <w:tr>
        <w:trPr/>
        <w:tc>
          <w:tcPr>
            <w:tcW w:w="63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56</w:t>
            </w:r>
          </w:p>
        </w:tc>
        <w:tc>
          <w:tcPr>
            <w:tcW w:w="16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excedente a franquia SEM papel </w:t>
            </w:r>
          </w:p>
        </w:tc>
        <w:tc>
          <w:tcPr>
            <w:tcW w:w="8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11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1.600</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96.000</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R$ 0,13</w:t>
            </w:r>
          </w:p>
        </w:tc>
        <w:tc>
          <w:tcPr>
            <w:tcW w:w="11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R$ 2.496,00</w:t>
            </w:r>
          </w:p>
        </w:tc>
        <w:tc>
          <w:tcPr>
            <w:tcW w:w="13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R$ 12.480,00</w:t>
            </w:r>
          </w:p>
        </w:tc>
      </w:tr>
      <w:tr>
        <w:trPr/>
        <w:tc>
          <w:tcPr>
            <w:tcW w:w="63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57</w:t>
            </w:r>
          </w:p>
        </w:tc>
        <w:tc>
          <w:tcPr>
            <w:tcW w:w="16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dentro da</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franquia SEM papel </w:t>
            </w:r>
          </w:p>
        </w:tc>
        <w:tc>
          <w:tcPr>
            <w:tcW w:w="8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11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500</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30.000</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R$ 0,97</w:t>
            </w:r>
          </w:p>
        </w:tc>
        <w:tc>
          <w:tcPr>
            <w:tcW w:w="11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R$ 5.820,00</w:t>
            </w:r>
          </w:p>
        </w:tc>
        <w:tc>
          <w:tcPr>
            <w:tcW w:w="13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R$ 29.100,00</w:t>
            </w:r>
          </w:p>
        </w:tc>
      </w:tr>
      <w:tr>
        <w:trPr/>
        <w:tc>
          <w:tcPr>
            <w:tcW w:w="63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58</w:t>
            </w:r>
          </w:p>
        </w:tc>
        <w:tc>
          <w:tcPr>
            <w:tcW w:w="16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excedente a franquia SEM papel </w:t>
            </w:r>
          </w:p>
        </w:tc>
        <w:tc>
          <w:tcPr>
            <w:tcW w:w="8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11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50</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3.000</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R$ 0,45</w:t>
            </w:r>
          </w:p>
        </w:tc>
        <w:tc>
          <w:tcPr>
            <w:tcW w:w="11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R$ 270,00</w:t>
            </w:r>
          </w:p>
        </w:tc>
        <w:tc>
          <w:tcPr>
            <w:tcW w:w="13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R$ 1.350,00</w:t>
            </w:r>
          </w:p>
        </w:tc>
      </w:tr>
      <w:tr>
        <w:trPr/>
        <w:tc>
          <w:tcPr>
            <w:tcW w:w="63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59</w:t>
            </w:r>
          </w:p>
        </w:tc>
        <w:tc>
          <w:tcPr>
            <w:tcW w:w="16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A3 -</w:t>
            </w:r>
          </w:p>
          <w:p>
            <w:pPr>
              <w:pStyle w:val="Normal"/>
              <w:widowControl w:val="false"/>
              <w:spacing w:before="57" w:after="57"/>
              <w:rPr>
                <w:color w:val="000000"/>
              </w:rPr>
            </w:pPr>
            <w:r>
              <w:rPr>
                <w:rFonts w:eastAsia="Times New Roman" w:cs="Arial" w:ascii="Arial" w:hAnsi="Arial"/>
                <w:color w:val="000000"/>
                <w:sz w:val="16"/>
                <w:szCs w:val="16"/>
              </w:rPr>
              <w:t>Policromático Com módulo de Acabamento - Dentro da Franquia sem Papel** </w:t>
            </w:r>
          </w:p>
        </w:tc>
        <w:tc>
          <w:tcPr>
            <w:tcW w:w="8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26638</w:t>
            </w:r>
          </w:p>
        </w:tc>
        <w:tc>
          <w:tcPr>
            <w:tcW w:w="11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500</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30.000</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R$ 1,86</w:t>
            </w:r>
          </w:p>
        </w:tc>
        <w:tc>
          <w:tcPr>
            <w:tcW w:w="1161"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pPr>
              <w:pStyle w:val="Normal"/>
              <w:widowControl w:val="false"/>
              <w:spacing w:before="57" w:after="57"/>
              <w:jc w:val="center"/>
              <w:rPr>
                <w:color w:val="000000"/>
              </w:rPr>
            </w:pPr>
            <w:r>
              <w:rPr>
                <w:rFonts w:eastAsia="Times New Roman" w:cs="Arial" w:ascii="Arial" w:hAnsi="Arial"/>
                <w:color w:val="000000"/>
                <w:sz w:val="16"/>
                <w:szCs w:val="16"/>
              </w:rPr>
              <w:t>R$ 11.160,00</w:t>
            </w:r>
          </w:p>
        </w:tc>
        <w:tc>
          <w:tcPr>
            <w:tcW w:w="13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R$ 55.800,00</w:t>
            </w:r>
          </w:p>
        </w:tc>
      </w:tr>
      <w:tr>
        <w:trPr/>
        <w:tc>
          <w:tcPr>
            <w:tcW w:w="637"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000000"/>
                <w:sz w:val="16"/>
                <w:szCs w:val="16"/>
              </w:rPr>
            </w:pPr>
            <w:r>
              <w:rPr>
                <w:rFonts w:eastAsia="Times New Roman" w:cs="Times New Roman" w:ascii="Times New Roman" w:hAnsi="Times New Roman"/>
                <w:color w:val="000000"/>
                <w:sz w:val="16"/>
                <w:szCs w:val="16"/>
              </w:rPr>
            </w:r>
          </w:p>
          <w:p>
            <w:pPr>
              <w:pStyle w:val="Normal"/>
              <w:widowControl w:val="false"/>
              <w:spacing w:before="57" w:after="57"/>
              <w:jc w:val="center"/>
              <w:rPr>
                <w:color w:val="000000"/>
              </w:rPr>
            </w:pPr>
            <w:r>
              <w:rPr>
                <w:rFonts w:eastAsia="Times New Roman" w:cs="Arial" w:ascii="Arial" w:hAnsi="Arial"/>
                <w:b/>
                <w:bCs/>
                <w:color w:val="000000"/>
                <w:sz w:val="16"/>
                <w:szCs w:val="16"/>
              </w:rPr>
              <w:t>60</w:t>
            </w:r>
          </w:p>
        </w:tc>
        <w:tc>
          <w:tcPr>
            <w:tcW w:w="162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A3 -Policromático - Excedente da Franquia sem Papel** </w:t>
            </w:r>
          </w:p>
        </w:tc>
        <w:tc>
          <w:tcPr>
            <w:tcW w:w="8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26719</w:t>
            </w:r>
          </w:p>
        </w:tc>
        <w:tc>
          <w:tcPr>
            <w:tcW w:w="11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50</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3.000</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R$ 0,94</w:t>
            </w:r>
          </w:p>
        </w:tc>
        <w:tc>
          <w:tcPr>
            <w:tcW w:w="11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R$ 564,00</w:t>
            </w:r>
          </w:p>
        </w:tc>
        <w:tc>
          <w:tcPr>
            <w:tcW w:w="13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R$ 2.820,00</w:t>
            </w:r>
          </w:p>
        </w:tc>
      </w:tr>
      <w:tr>
        <w:trPr>
          <w:trHeight w:val="220" w:hRule="atLeast"/>
        </w:trPr>
        <w:tc>
          <w:tcPr>
            <w:tcW w:w="7223"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right"/>
              <w:rPr>
                <w:color w:val="000000"/>
              </w:rPr>
            </w:pPr>
            <w:r>
              <w:rPr>
                <w:rFonts w:eastAsia="Times New Roman" w:cs="Arial" w:ascii="Arial" w:hAnsi="Arial"/>
                <w:b/>
                <w:bCs/>
                <w:color w:val="000000"/>
                <w:sz w:val="16"/>
                <w:szCs w:val="16"/>
              </w:rPr>
              <w:t>TOTAL</w:t>
            </w:r>
          </w:p>
        </w:tc>
        <w:tc>
          <w:tcPr>
            <w:tcW w:w="116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87.510,00</w:t>
            </w:r>
          </w:p>
        </w:tc>
        <w:tc>
          <w:tcPr>
            <w:tcW w:w="139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437.550,00</w:t>
            </w:r>
          </w:p>
        </w:tc>
      </w:tr>
    </w:tbl>
    <w:p>
      <w:pPr>
        <w:pStyle w:val="Normal"/>
        <w:rPr>
          <w:color w:val="000000"/>
        </w:rPr>
      </w:pPr>
      <w:r>
        <w:rPr>
          <w:color w:val="000000"/>
        </w:rPr>
      </w:r>
    </w:p>
    <w:tbl>
      <w:tblPr>
        <w:tblW w:w="9775"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37"/>
        <w:gridCol w:w="1623"/>
        <w:gridCol w:w="996"/>
        <w:gridCol w:w="992"/>
        <w:gridCol w:w="707"/>
        <w:gridCol w:w="995"/>
        <w:gridCol w:w="1273"/>
        <w:gridCol w:w="1134"/>
        <w:gridCol w:w="1417"/>
      </w:tblGrid>
      <w:tr>
        <w:trPr/>
        <w:tc>
          <w:tcPr>
            <w:tcW w:w="9774"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GRUPO 14 – CAMPUS SÃO LEOPOLDO</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6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(CINCO ANOS)</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61</w:t>
            </w:r>
          </w:p>
        </w:tc>
        <w:tc>
          <w:tcPr>
            <w:tcW w:w="16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monocromático - dentro da franquia SEM papel </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16.000</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960.000</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R$ 0,22</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R$ 42.240,00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R$ 211.200,00</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62</w:t>
            </w:r>
          </w:p>
        </w:tc>
        <w:tc>
          <w:tcPr>
            <w:tcW w:w="16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excedente a franquia SEM papel </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1.600</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96.000</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R$ 0,08</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R$ 1.536,00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R$ 7.680,00</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63</w:t>
            </w:r>
          </w:p>
        </w:tc>
        <w:tc>
          <w:tcPr>
            <w:tcW w:w="16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dentro da</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franquia SEM papel </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500</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30.000</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R$ 0,65</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R$ 3.900,00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R$ 19.500,00</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64</w:t>
            </w:r>
          </w:p>
        </w:tc>
        <w:tc>
          <w:tcPr>
            <w:tcW w:w="16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policromático - excedente a franquia SEM papel </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50</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3.000</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R$ 0,35</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R$ 210,00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R$ 1.050,00</w:t>
            </w:r>
          </w:p>
        </w:tc>
      </w:tr>
      <w:tr>
        <w:trPr>
          <w:trHeight w:val="220" w:hRule="atLeast"/>
        </w:trPr>
        <w:tc>
          <w:tcPr>
            <w:tcW w:w="7223"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right"/>
              <w:rPr>
                <w:color w:val="000000"/>
              </w:rPr>
            </w:pPr>
            <w:r>
              <w:rPr>
                <w:rFonts w:eastAsia="Times New Roman" w:cs="Arial" w:ascii="Arial" w:hAnsi="Arial"/>
                <w:b/>
                <w:bCs/>
                <w:color w:val="000000"/>
                <w:sz w:val="18"/>
                <w:szCs w:val="18"/>
              </w:rPr>
              <w:t>TOTAL</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47.886,00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239.430,00</w:t>
            </w:r>
          </w:p>
        </w:tc>
      </w:tr>
    </w:tbl>
    <w:p>
      <w:pPr>
        <w:pStyle w:val="Normal"/>
        <w:spacing w:lineRule="auto" w:line="360"/>
        <w:rPr>
          <w:rFonts w:ascii="Arial" w:hAnsi="Arial" w:cs="Arial"/>
          <w:color w:val="000000"/>
          <w:sz w:val="20"/>
          <w:szCs w:val="20"/>
          <w:lang w:eastAsia="en-US"/>
        </w:rPr>
      </w:pPr>
      <w:r>
        <w:rPr>
          <w:rFonts w:cs="Arial" w:ascii="Arial" w:hAnsi="Arial"/>
          <w:color w:val="000000"/>
          <w:sz w:val="20"/>
          <w:szCs w:val="20"/>
          <w:lang w:eastAsia="en-US"/>
        </w:rPr>
      </w:r>
    </w:p>
    <w:p>
      <w:pPr>
        <w:pStyle w:val="Nivel2"/>
        <w:numPr>
          <w:ilvl w:val="1"/>
          <w:numId w:val="1"/>
        </w:numPr>
        <w:ind w:left="0" w:hanging="0"/>
        <w:rPr>
          <w:color w:val="000000"/>
        </w:rPr>
      </w:pPr>
      <w:r>
        <w:rPr>
          <w:color w:val="000000"/>
          <w:lang w:eastAsia="en-US"/>
        </w:rPr>
        <w:t>A listagem do cadastro de reserva referente ao presente registro de preços consta como anexo a esta Ata.</w:t>
      </w:r>
    </w:p>
    <w:p>
      <w:pPr>
        <w:pStyle w:val="Nivel01"/>
        <w:numPr>
          <w:ilvl w:val="0"/>
          <w:numId w:val="1"/>
        </w:numPr>
        <w:ind w:left="0" w:hanging="0"/>
        <w:rPr>
          <w:color w:val="000000"/>
        </w:rPr>
      </w:pPr>
      <w:r>
        <w:rPr>
          <w:color w:val="000000"/>
        </w:rPr>
        <w:t>ÓRGÃO(S) GERENCIADOR E PARTICIPANTE(S)</w:t>
      </w:r>
    </w:p>
    <w:p>
      <w:pPr>
        <w:pStyle w:val="Nivel2"/>
        <w:numPr>
          <w:ilvl w:val="1"/>
          <w:numId w:val="1"/>
        </w:numPr>
        <w:ind w:left="0" w:hanging="0"/>
        <w:rPr>
          <w:color w:val="000000"/>
        </w:rPr>
      </w:pPr>
      <w:r>
        <w:rPr>
          <w:color w:val="000000"/>
        </w:rPr>
        <w:t>O órgão gerenciador será o(a) Reitoria do instituto Federal Sul-rio-grandense</w:t>
      </w:r>
    </w:p>
    <w:p>
      <w:pPr>
        <w:pStyle w:val="Nvel2Red"/>
        <w:numPr>
          <w:ilvl w:val="1"/>
          <w:numId w:val="1"/>
        </w:numPr>
        <w:ind w:left="0" w:hanging="0"/>
        <w:rPr>
          <w:color w:val="000000"/>
        </w:rPr>
      </w:pPr>
      <w:r>
        <w:rPr>
          <w:color w:val="000000"/>
        </w:rPr>
        <w:t>Além do gerenciador, são órgãos e entidades públicas participantes do registro de preços:</w:t>
      </w:r>
    </w:p>
    <w:tbl>
      <w:tblPr>
        <w:tblW w:w="9000"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7569"/>
        <w:gridCol w:w="1430"/>
      </w:tblGrid>
      <w:tr>
        <w:trPr/>
        <w:tc>
          <w:tcPr>
            <w:tcW w:w="7569" w:type="dxa"/>
            <w:tcBorders>
              <w:bottom w:val="single" w:sz="4" w:space="0" w:color="000000"/>
            </w:tcBorders>
            <w:vAlign w:val="center"/>
          </w:tcPr>
          <w:p>
            <w:pPr>
              <w:pStyle w:val="Normal"/>
              <w:widowControl w:val="false"/>
              <w:numPr>
                <w:ilvl w:val="0"/>
                <w:numId w:val="0"/>
              </w:numPr>
              <w:snapToGrid w:val="false"/>
              <w:ind w:left="360" w:hanging="0"/>
              <w:jc w:val="center"/>
              <w:rPr>
                <w:color w:val="000000"/>
              </w:rPr>
            </w:pPr>
            <w:r>
              <w:rPr>
                <w:rFonts w:cs="Arial" w:ascii="Arial" w:hAnsi="Arial"/>
                <w:color w:val="000000"/>
                <w:sz w:val="20"/>
                <w:szCs w:val="20"/>
                <w:lang w:eastAsia="en-US"/>
              </w:rPr>
              <w:t>GERENCIADOR</w:t>
            </w:r>
          </w:p>
        </w:tc>
        <w:tc>
          <w:tcPr>
            <w:tcW w:w="1430" w:type="dxa"/>
            <w:tcBorders>
              <w:bottom w:val="single" w:sz="4" w:space="0" w:color="000000"/>
            </w:tcBorders>
            <w:vAlign w:val="center"/>
          </w:tcPr>
          <w:p>
            <w:pPr>
              <w:pStyle w:val="Normal"/>
              <w:widowControl w:val="false"/>
              <w:numPr>
                <w:ilvl w:val="0"/>
                <w:numId w:val="0"/>
              </w:numPr>
              <w:snapToGrid w:val="false"/>
              <w:ind w:left="360" w:hanging="0"/>
              <w:jc w:val="center"/>
              <w:rPr>
                <w:color w:val="000000"/>
              </w:rPr>
            </w:pPr>
            <w:r>
              <w:rPr>
                <w:rFonts w:cs="Arial" w:ascii="Arial" w:hAnsi="Arial"/>
                <w:color w:val="000000"/>
                <w:sz w:val="20"/>
                <w:szCs w:val="20"/>
                <w:lang w:eastAsia="en-US"/>
              </w:rPr>
              <w:t>UG</w:t>
            </w:r>
          </w:p>
        </w:tc>
      </w:tr>
      <w:tr>
        <w:trPr/>
        <w:tc>
          <w:tcPr>
            <w:tcW w:w="7569" w:type="dxa"/>
            <w:tcBorders>
              <w:top w:val="single" w:sz="4" w:space="0" w:color="000000"/>
            </w:tcBorders>
            <w:vAlign w:val="center"/>
          </w:tcPr>
          <w:p>
            <w:pPr>
              <w:pStyle w:val="Normal"/>
              <w:widowControl w:val="false"/>
              <w:numPr>
                <w:ilvl w:val="0"/>
                <w:numId w:val="0"/>
              </w:numPr>
              <w:snapToGrid w:val="false"/>
              <w:spacing w:before="60" w:after="60"/>
              <w:ind w:left="360" w:hanging="0"/>
              <w:rPr>
                <w:color w:val="000000"/>
              </w:rPr>
            </w:pPr>
            <w:r>
              <w:rPr>
                <w:rFonts w:cs="Arial" w:ascii="Arial" w:hAnsi="Arial"/>
                <w:color w:val="000000"/>
                <w:sz w:val="20"/>
                <w:szCs w:val="20"/>
                <w:shd w:fill="auto" w:val="clear"/>
                <w:lang w:eastAsia="en-US"/>
              </w:rPr>
              <w:t>Reitoria do Instituto Federal Sul-rio-grandense</w:t>
            </w:r>
          </w:p>
        </w:tc>
        <w:tc>
          <w:tcPr>
            <w:tcW w:w="1430" w:type="dxa"/>
            <w:tcBorders>
              <w:top w:val="single" w:sz="4" w:space="0" w:color="000000"/>
            </w:tcBorders>
          </w:tcPr>
          <w:p>
            <w:pPr>
              <w:pStyle w:val="Normal"/>
              <w:widowControl w:val="false"/>
              <w:numPr>
                <w:ilvl w:val="0"/>
                <w:numId w:val="0"/>
              </w:numPr>
              <w:snapToGrid w:val="false"/>
              <w:spacing w:before="60" w:after="60"/>
              <w:ind w:left="360" w:hanging="0"/>
              <w:jc w:val="center"/>
              <w:rPr>
                <w:color w:val="000000"/>
              </w:rPr>
            </w:pPr>
            <w:r>
              <w:rPr>
                <w:rFonts w:cs="Arial" w:ascii="Arial" w:hAnsi="Arial"/>
                <w:color w:val="000000"/>
                <w:sz w:val="20"/>
                <w:szCs w:val="20"/>
                <w:shd w:fill="auto" w:val="clear"/>
                <w:lang w:eastAsia="en-US"/>
              </w:rPr>
              <w:t>158126</w:t>
            </w:r>
          </w:p>
        </w:tc>
      </w:tr>
      <w:tr>
        <w:trPr/>
        <w:tc>
          <w:tcPr>
            <w:tcW w:w="7569" w:type="dxa"/>
            <w:tcBorders>
              <w:bottom w:val="single" w:sz="4" w:space="0" w:color="000000"/>
            </w:tcBorders>
            <w:vAlign w:val="center"/>
          </w:tcPr>
          <w:p>
            <w:pPr>
              <w:pStyle w:val="Normal"/>
              <w:widowControl w:val="false"/>
              <w:numPr>
                <w:ilvl w:val="0"/>
                <w:numId w:val="0"/>
              </w:numPr>
              <w:snapToGrid w:val="false"/>
              <w:ind w:left="360" w:hanging="0"/>
              <w:jc w:val="center"/>
              <w:rPr>
                <w:color w:val="000000"/>
              </w:rPr>
            </w:pPr>
            <w:r>
              <w:rPr>
                <w:rFonts w:cs="Arial" w:ascii="Arial" w:hAnsi="Arial"/>
                <w:color w:val="000000"/>
                <w:sz w:val="20"/>
                <w:szCs w:val="20"/>
                <w:shd w:fill="auto" w:val="clear"/>
                <w:lang w:eastAsia="en-US"/>
              </w:rPr>
              <w:t>PARTICIPANTES</w:t>
            </w:r>
          </w:p>
        </w:tc>
        <w:tc>
          <w:tcPr>
            <w:tcW w:w="1430" w:type="dxa"/>
            <w:tcBorders>
              <w:bottom w:val="single" w:sz="4" w:space="0" w:color="000000"/>
            </w:tcBorders>
            <w:vAlign w:val="center"/>
          </w:tcPr>
          <w:p>
            <w:pPr>
              <w:pStyle w:val="Normal"/>
              <w:widowControl w:val="false"/>
              <w:numPr>
                <w:ilvl w:val="0"/>
                <w:numId w:val="0"/>
              </w:numPr>
              <w:snapToGrid w:val="false"/>
              <w:ind w:left="360" w:hanging="0"/>
              <w:jc w:val="center"/>
              <w:rPr>
                <w:color w:val="000000"/>
              </w:rPr>
            </w:pPr>
            <w:r>
              <w:rPr>
                <w:rFonts w:cs="Arial" w:ascii="Arial" w:hAnsi="Arial"/>
                <w:color w:val="000000"/>
                <w:sz w:val="20"/>
                <w:szCs w:val="20"/>
                <w:shd w:fill="auto" w:val="clear"/>
                <w:lang w:eastAsia="en-US"/>
              </w:rPr>
              <w:t>UG</w:t>
            </w:r>
          </w:p>
        </w:tc>
      </w:tr>
      <w:tr>
        <w:trPr/>
        <w:tc>
          <w:tcPr>
            <w:tcW w:w="7569" w:type="dxa"/>
            <w:tcBorders/>
            <w:vAlign w:val="center"/>
          </w:tcPr>
          <w:p>
            <w:pPr>
              <w:pStyle w:val="Normal"/>
              <w:widowControl w:val="false"/>
              <w:numPr>
                <w:ilvl w:val="0"/>
                <w:numId w:val="0"/>
              </w:numPr>
              <w:ind w:left="360" w:hanging="0"/>
              <w:jc w:val="both"/>
              <w:rPr>
                <w:color w:val="000000"/>
              </w:rPr>
            </w:pPr>
            <w:r>
              <w:rPr>
                <w:rFonts w:cs="Arial" w:ascii="Arial" w:hAnsi="Arial"/>
                <w:color w:val="000000"/>
                <w:sz w:val="20"/>
                <w:szCs w:val="20"/>
                <w:shd w:fill="auto" w:val="clear"/>
              </w:rPr>
              <w:t xml:space="preserve">Instituto Federal Sul-rio-grandense </w:t>
            </w:r>
            <w:r>
              <w:rPr>
                <w:rFonts w:cs="Arial" w:ascii="Arial" w:hAnsi="Arial"/>
                <w:b/>
                <w:bCs/>
                <w:color w:val="000000"/>
                <w:sz w:val="20"/>
                <w:szCs w:val="20"/>
                <w:shd w:fill="auto" w:val="clear"/>
              </w:rPr>
              <w:t>Câmpus</w:t>
            </w:r>
            <w:r>
              <w:rPr>
                <w:rFonts w:cs="Arial" w:ascii="Arial" w:hAnsi="Arial"/>
                <w:color w:val="000000"/>
                <w:sz w:val="20"/>
                <w:szCs w:val="20"/>
                <w:shd w:fill="auto" w:val="clear"/>
              </w:rPr>
              <w:t xml:space="preserve"> </w:t>
            </w:r>
            <w:r>
              <w:rPr>
                <w:rFonts w:cs="Arial" w:ascii="Arial" w:hAnsi="Arial"/>
                <w:b/>
                <w:color w:val="000000"/>
                <w:sz w:val="20"/>
                <w:szCs w:val="20"/>
                <w:shd w:fill="auto" w:val="clear"/>
              </w:rPr>
              <w:t>Passo Fundo</w:t>
            </w:r>
          </w:p>
        </w:tc>
        <w:tc>
          <w:tcPr>
            <w:tcW w:w="1430" w:type="dxa"/>
            <w:tcBorders/>
            <w:vAlign w:val="center"/>
          </w:tcPr>
          <w:p>
            <w:pPr>
              <w:pStyle w:val="Normal"/>
              <w:widowControl w:val="false"/>
              <w:numPr>
                <w:ilvl w:val="0"/>
                <w:numId w:val="0"/>
              </w:numPr>
              <w:ind w:left="360" w:hanging="0"/>
              <w:jc w:val="center"/>
              <w:rPr/>
            </w:pPr>
            <w:r>
              <w:rPr>
                <w:rStyle w:val="Strong"/>
                <w:rFonts w:cs="Arial" w:ascii="Google Sans;Arial;sans-serif" w:hAnsi="Google Sans;Arial;sans-serif"/>
                <w:b w:val="false"/>
                <w:i w:val="false"/>
                <w:caps w:val="false"/>
                <w:smallCaps w:val="false"/>
                <w:color w:val="000000"/>
                <w:spacing w:val="0"/>
                <w:sz w:val="24"/>
                <w:szCs w:val="20"/>
                <w:shd w:fill="auto" w:val="clear"/>
                <w:lang w:eastAsia="en-US"/>
              </w:rPr>
              <w:t>158338</w:t>
            </w:r>
            <w:r>
              <w:rPr>
                <w:rFonts w:cs="Arial" w:ascii="Arial" w:hAnsi="Arial"/>
                <w:color w:val="000000"/>
                <w:sz w:val="20"/>
                <w:szCs w:val="20"/>
                <w:shd w:fill="auto" w:val="clear"/>
                <w:lang w:eastAsia="en-US"/>
              </w:rPr>
              <w:t xml:space="preserve"> </w:t>
            </w:r>
          </w:p>
        </w:tc>
      </w:tr>
      <w:tr>
        <w:trPr/>
        <w:tc>
          <w:tcPr>
            <w:tcW w:w="7569" w:type="dxa"/>
            <w:tcBorders/>
            <w:vAlign w:val="center"/>
          </w:tcPr>
          <w:p>
            <w:pPr>
              <w:pStyle w:val="Normal"/>
              <w:widowControl w:val="false"/>
              <w:numPr>
                <w:ilvl w:val="0"/>
                <w:numId w:val="0"/>
              </w:numPr>
              <w:ind w:left="360" w:hanging="0"/>
              <w:jc w:val="both"/>
              <w:rPr>
                <w:color w:val="000000"/>
              </w:rPr>
            </w:pPr>
            <w:r>
              <w:rPr>
                <w:rFonts w:cs="Arial" w:ascii="Arial" w:hAnsi="Arial"/>
                <w:b w:val="false"/>
                <w:bCs w:val="false"/>
                <w:color w:val="000000"/>
                <w:sz w:val="20"/>
                <w:szCs w:val="20"/>
                <w:shd w:fill="auto" w:val="clear"/>
              </w:rPr>
              <w:t>Instituto Federal Sul-rio-grandense</w:t>
            </w:r>
            <w:r>
              <w:rPr>
                <w:rFonts w:cs="Arial" w:ascii="Arial" w:hAnsi="Arial"/>
                <w:b/>
                <w:bCs/>
                <w:color w:val="000000"/>
                <w:sz w:val="20"/>
                <w:szCs w:val="20"/>
                <w:shd w:fill="auto" w:val="clear"/>
              </w:rPr>
              <w:t xml:space="preserve"> Câmpus Sapucaia do Sul</w:t>
            </w:r>
          </w:p>
        </w:tc>
        <w:tc>
          <w:tcPr>
            <w:tcW w:w="1430" w:type="dxa"/>
            <w:tcBorders/>
            <w:vAlign w:val="center"/>
          </w:tcPr>
          <w:p>
            <w:pPr>
              <w:pStyle w:val="Normal"/>
              <w:widowControl w:val="false"/>
              <w:numPr>
                <w:ilvl w:val="0"/>
                <w:numId w:val="0"/>
              </w:numPr>
              <w:ind w:left="360" w:hanging="0"/>
              <w:jc w:val="center"/>
              <w:rPr>
                <w:color w:val="000000"/>
              </w:rPr>
            </w:pPr>
            <w:r>
              <w:rPr>
                <w:rFonts w:cs="Arial" w:ascii="Arial" w:hAnsi="Arial"/>
                <w:color w:val="000000"/>
                <w:sz w:val="20"/>
                <w:szCs w:val="20"/>
                <w:shd w:fill="auto" w:val="clear"/>
                <w:lang w:eastAsia="en-US"/>
              </w:rPr>
              <w:t>158339</w:t>
            </w:r>
          </w:p>
        </w:tc>
      </w:tr>
      <w:tr>
        <w:trPr/>
        <w:tc>
          <w:tcPr>
            <w:tcW w:w="7569" w:type="dxa"/>
            <w:tcBorders/>
            <w:vAlign w:val="center"/>
          </w:tcPr>
          <w:p>
            <w:pPr>
              <w:pStyle w:val="Normal"/>
              <w:widowControl w:val="false"/>
              <w:numPr>
                <w:ilvl w:val="0"/>
                <w:numId w:val="0"/>
              </w:numPr>
              <w:ind w:left="360" w:hanging="0"/>
              <w:jc w:val="both"/>
              <w:rPr>
                <w:color w:val="000000"/>
              </w:rPr>
            </w:pPr>
            <w:r>
              <w:rPr>
                <w:rFonts w:cs="Arial" w:ascii="Arial" w:hAnsi="Arial"/>
                <w:b w:val="false"/>
                <w:bCs w:val="false"/>
                <w:color w:val="000000"/>
                <w:sz w:val="20"/>
                <w:szCs w:val="20"/>
                <w:shd w:fill="auto" w:val="clear"/>
              </w:rPr>
              <w:t>Instituto Federal Sul-rio-grandense</w:t>
            </w:r>
            <w:r>
              <w:rPr>
                <w:rFonts w:cs="Arial" w:ascii="Arial" w:hAnsi="Arial"/>
                <w:b/>
                <w:bCs/>
                <w:color w:val="000000"/>
                <w:sz w:val="20"/>
                <w:szCs w:val="20"/>
                <w:shd w:fill="auto" w:val="clear"/>
              </w:rPr>
              <w:t xml:space="preserve"> Câmpus Charqueadas</w:t>
            </w:r>
          </w:p>
        </w:tc>
        <w:tc>
          <w:tcPr>
            <w:tcW w:w="1430" w:type="dxa"/>
            <w:tcBorders/>
            <w:vAlign w:val="center"/>
          </w:tcPr>
          <w:p>
            <w:pPr>
              <w:pStyle w:val="Normal"/>
              <w:widowControl w:val="false"/>
              <w:numPr>
                <w:ilvl w:val="0"/>
                <w:numId w:val="0"/>
              </w:numPr>
              <w:ind w:left="360" w:hanging="0"/>
              <w:jc w:val="center"/>
              <w:rPr>
                <w:color w:val="000000"/>
              </w:rPr>
            </w:pPr>
            <w:r>
              <w:rPr>
                <w:color w:val="000000"/>
              </w:rPr>
              <w:t>158340</w:t>
            </w:r>
          </w:p>
        </w:tc>
      </w:tr>
      <w:tr>
        <w:trPr/>
        <w:tc>
          <w:tcPr>
            <w:tcW w:w="7569" w:type="dxa"/>
            <w:tcBorders/>
            <w:vAlign w:val="center"/>
          </w:tcPr>
          <w:p>
            <w:pPr>
              <w:pStyle w:val="Normal"/>
              <w:widowControl w:val="false"/>
              <w:ind w:left="360" w:hanging="0"/>
              <w:jc w:val="both"/>
              <w:rPr>
                <w:color w:val="000000"/>
              </w:rPr>
            </w:pPr>
            <w:r>
              <w:rPr>
                <w:rFonts w:cs="Arial" w:ascii="Arial" w:hAnsi="Arial"/>
                <w:b w:val="false"/>
                <w:bCs w:val="false"/>
                <w:color w:val="000000"/>
                <w:sz w:val="20"/>
                <w:szCs w:val="20"/>
                <w:shd w:fill="auto" w:val="clear"/>
              </w:rPr>
              <w:t>Instituto Federal Sul-rio-grandense</w:t>
            </w:r>
            <w:r>
              <w:rPr>
                <w:rFonts w:cs="Arial" w:ascii="Arial" w:hAnsi="Arial"/>
                <w:b/>
                <w:bCs/>
                <w:color w:val="000000"/>
                <w:sz w:val="20"/>
                <w:szCs w:val="20"/>
                <w:shd w:fill="auto" w:val="clear"/>
              </w:rPr>
              <w:t xml:space="preserve"> Câmpus Camaquã</w:t>
            </w:r>
          </w:p>
        </w:tc>
        <w:tc>
          <w:tcPr>
            <w:tcW w:w="1430" w:type="dxa"/>
            <w:tcBorders/>
            <w:vAlign w:val="center"/>
          </w:tcPr>
          <w:p>
            <w:pPr>
              <w:pStyle w:val="Normal"/>
              <w:widowControl w:val="false"/>
              <w:numPr>
                <w:ilvl w:val="0"/>
                <w:numId w:val="0"/>
              </w:numPr>
              <w:ind w:left="360" w:hanging="0"/>
              <w:jc w:val="center"/>
              <w:rPr>
                <w:color w:val="000000"/>
              </w:rPr>
            </w:pPr>
            <w:r>
              <w:rPr>
                <w:color w:val="000000"/>
              </w:rPr>
              <w:t>151878</w:t>
            </w:r>
          </w:p>
        </w:tc>
      </w:tr>
      <w:tr>
        <w:trPr/>
        <w:tc>
          <w:tcPr>
            <w:tcW w:w="7569" w:type="dxa"/>
            <w:tcBorders/>
            <w:vAlign w:val="center"/>
          </w:tcPr>
          <w:p>
            <w:pPr>
              <w:pStyle w:val="Normal"/>
              <w:widowControl w:val="false"/>
              <w:ind w:left="360" w:hanging="0"/>
              <w:jc w:val="both"/>
              <w:rPr>
                <w:color w:val="000000"/>
              </w:rPr>
            </w:pPr>
            <w:r>
              <w:rPr>
                <w:rFonts w:cs="Arial" w:ascii="Arial" w:hAnsi="Arial"/>
                <w:b w:val="false"/>
                <w:bCs w:val="false"/>
                <w:color w:val="000000"/>
                <w:sz w:val="20"/>
                <w:szCs w:val="20"/>
                <w:shd w:fill="auto" w:val="clear"/>
              </w:rPr>
              <w:t>Instituto Federal Sul-rio-grandense</w:t>
            </w:r>
            <w:r>
              <w:rPr>
                <w:rFonts w:cs="Arial" w:ascii="Arial" w:hAnsi="Arial"/>
                <w:b/>
                <w:bCs/>
                <w:color w:val="000000"/>
                <w:sz w:val="20"/>
                <w:szCs w:val="20"/>
                <w:shd w:fill="auto" w:val="clear"/>
              </w:rPr>
              <w:t xml:space="preserve"> Câmpus Bagé</w:t>
            </w:r>
          </w:p>
        </w:tc>
        <w:tc>
          <w:tcPr>
            <w:tcW w:w="1430" w:type="dxa"/>
            <w:tcBorders/>
            <w:vAlign w:val="center"/>
          </w:tcPr>
          <w:p>
            <w:pPr>
              <w:pStyle w:val="Normal"/>
              <w:widowControl w:val="false"/>
              <w:numPr>
                <w:ilvl w:val="0"/>
                <w:numId w:val="0"/>
              </w:numPr>
              <w:ind w:left="360" w:hanging="0"/>
              <w:jc w:val="center"/>
              <w:rPr>
                <w:color w:val="000000"/>
              </w:rPr>
            </w:pPr>
            <w:r>
              <w:rPr>
                <w:color w:val="000000"/>
              </w:rPr>
              <w:t>151879</w:t>
            </w:r>
          </w:p>
        </w:tc>
      </w:tr>
      <w:tr>
        <w:trPr/>
        <w:tc>
          <w:tcPr>
            <w:tcW w:w="7569" w:type="dxa"/>
            <w:tcBorders/>
            <w:vAlign w:val="center"/>
          </w:tcPr>
          <w:p>
            <w:pPr>
              <w:pStyle w:val="Normal"/>
              <w:widowControl w:val="false"/>
              <w:ind w:left="360" w:hanging="0"/>
              <w:jc w:val="both"/>
              <w:rPr>
                <w:color w:val="000000"/>
              </w:rPr>
            </w:pPr>
            <w:r>
              <w:rPr>
                <w:rFonts w:cs="Arial" w:ascii="Arial" w:hAnsi="Arial"/>
                <w:b w:val="false"/>
                <w:bCs w:val="false"/>
                <w:color w:val="000000"/>
                <w:sz w:val="20"/>
                <w:szCs w:val="20"/>
                <w:shd w:fill="auto" w:val="clear"/>
              </w:rPr>
              <w:t>Instituto Federal Sul-rio-grandense</w:t>
            </w:r>
            <w:r>
              <w:rPr>
                <w:rFonts w:cs="Arial" w:ascii="Arial" w:hAnsi="Arial"/>
                <w:b/>
                <w:bCs/>
                <w:color w:val="000000"/>
                <w:sz w:val="20"/>
                <w:szCs w:val="20"/>
                <w:shd w:fill="auto" w:val="clear"/>
              </w:rPr>
              <w:t xml:space="preserve"> Câmpus Venâncio Aires</w:t>
            </w:r>
          </w:p>
        </w:tc>
        <w:tc>
          <w:tcPr>
            <w:tcW w:w="1430" w:type="dxa"/>
            <w:tcBorders/>
            <w:vAlign w:val="center"/>
          </w:tcPr>
          <w:p>
            <w:pPr>
              <w:pStyle w:val="Normal"/>
              <w:widowControl w:val="false"/>
              <w:numPr>
                <w:ilvl w:val="0"/>
                <w:numId w:val="0"/>
              </w:numPr>
              <w:ind w:left="360" w:hanging="0"/>
              <w:jc w:val="center"/>
              <w:rPr>
                <w:color w:val="000000"/>
              </w:rPr>
            </w:pPr>
            <w:r>
              <w:rPr>
                <w:color w:val="000000"/>
              </w:rPr>
              <w:t>151964</w:t>
            </w:r>
          </w:p>
        </w:tc>
      </w:tr>
      <w:tr>
        <w:trPr/>
        <w:tc>
          <w:tcPr>
            <w:tcW w:w="7569" w:type="dxa"/>
            <w:tcBorders/>
            <w:vAlign w:val="center"/>
          </w:tcPr>
          <w:p>
            <w:pPr>
              <w:pStyle w:val="Normal"/>
              <w:widowControl w:val="false"/>
              <w:ind w:left="360" w:hanging="0"/>
              <w:jc w:val="both"/>
              <w:rPr>
                <w:color w:val="000000"/>
              </w:rPr>
            </w:pPr>
            <w:r>
              <w:rPr>
                <w:rFonts w:cs="Arial" w:ascii="Arial" w:hAnsi="Arial"/>
                <w:b w:val="false"/>
                <w:bCs w:val="false"/>
                <w:color w:val="000000"/>
                <w:sz w:val="20"/>
                <w:szCs w:val="20"/>
                <w:shd w:fill="auto" w:val="clear"/>
              </w:rPr>
              <w:t>Instituto Federal Sul-rio-grandense</w:t>
            </w:r>
            <w:r>
              <w:rPr>
                <w:rFonts w:cs="Arial" w:ascii="Arial" w:hAnsi="Arial"/>
                <w:b/>
                <w:bCs/>
                <w:color w:val="000000"/>
                <w:sz w:val="20"/>
                <w:szCs w:val="20"/>
                <w:shd w:fill="auto" w:val="clear"/>
              </w:rPr>
              <w:t xml:space="preserve"> Câmpus Santana do Livramento</w:t>
            </w:r>
          </w:p>
        </w:tc>
        <w:tc>
          <w:tcPr>
            <w:tcW w:w="1430" w:type="dxa"/>
            <w:tcBorders/>
            <w:vAlign w:val="center"/>
          </w:tcPr>
          <w:p>
            <w:pPr>
              <w:pStyle w:val="Normal"/>
              <w:widowControl w:val="false"/>
              <w:numPr>
                <w:ilvl w:val="0"/>
                <w:numId w:val="0"/>
              </w:numPr>
              <w:ind w:left="360" w:hanging="0"/>
              <w:jc w:val="center"/>
              <w:rPr>
                <w:color w:val="000000"/>
              </w:rPr>
            </w:pPr>
            <w:r>
              <w:rPr>
                <w:color w:val="000000"/>
              </w:rPr>
              <w:t>154773</w:t>
            </w:r>
          </w:p>
        </w:tc>
      </w:tr>
      <w:tr>
        <w:trPr/>
        <w:tc>
          <w:tcPr>
            <w:tcW w:w="7569" w:type="dxa"/>
            <w:tcBorders/>
            <w:vAlign w:val="center"/>
          </w:tcPr>
          <w:p>
            <w:pPr>
              <w:pStyle w:val="Normal"/>
              <w:widowControl w:val="false"/>
              <w:ind w:left="360" w:hanging="0"/>
              <w:jc w:val="both"/>
              <w:rPr>
                <w:color w:val="000000"/>
              </w:rPr>
            </w:pPr>
            <w:r>
              <w:rPr>
                <w:rFonts w:cs="Arial" w:ascii="Arial" w:hAnsi="Arial"/>
                <w:b w:val="false"/>
                <w:bCs w:val="false"/>
                <w:color w:val="000000"/>
                <w:sz w:val="20"/>
                <w:szCs w:val="20"/>
                <w:shd w:fill="auto" w:val="clear"/>
              </w:rPr>
              <w:t>Instituto Federal Sul-rio-grandense</w:t>
            </w:r>
            <w:r>
              <w:rPr>
                <w:rFonts w:cs="Arial" w:ascii="Arial" w:hAnsi="Arial"/>
                <w:b/>
                <w:bCs/>
                <w:color w:val="000000"/>
                <w:sz w:val="20"/>
                <w:szCs w:val="20"/>
                <w:shd w:fill="auto" w:val="clear"/>
              </w:rPr>
              <w:t xml:space="preserve"> Câmpus Gravataí</w:t>
            </w:r>
          </w:p>
        </w:tc>
        <w:tc>
          <w:tcPr>
            <w:tcW w:w="1430" w:type="dxa"/>
            <w:tcBorders/>
            <w:vAlign w:val="center"/>
          </w:tcPr>
          <w:p>
            <w:pPr>
              <w:pStyle w:val="Normal"/>
              <w:widowControl w:val="false"/>
              <w:numPr>
                <w:ilvl w:val="0"/>
                <w:numId w:val="0"/>
              </w:numPr>
              <w:ind w:left="360" w:hanging="0"/>
              <w:jc w:val="center"/>
              <w:rPr>
                <w:color w:val="000000"/>
              </w:rPr>
            </w:pPr>
            <w:r>
              <w:rPr>
                <w:color w:val="000000"/>
              </w:rPr>
              <w:t>155143</w:t>
            </w:r>
          </w:p>
        </w:tc>
      </w:tr>
      <w:tr>
        <w:trPr/>
        <w:tc>
          <w:tcPr>
            <w:tcW w:w="7569" w:type="dxa"/>
            <w:tcBorders/>
            <w:vAlign w:val="center"/>
          </w:tcPr>
          <w:p>
            <w:pPr>
              <w:pStyle w:val="Normal"/>
              <w:widowControl w:val="false"/>
              <w:ind w:left="360" w:hanging="0"/>
              <w:jc w:val="both"/>
              <w:rPr>
                <w:color w:val="000000"/>
              </w:rPr>
            </w:pPr>
            <w:r>
              <w:rPr>
                <w:rFonts w:cs="Arial" w:ascii="Arial" w:hAnsi="Arial"/>
                <w:b w:val="false"/>
                <w:bCs w:val="false"/>
                <w:color w:val="000000"/>
                <w:sz w:val="20"/>
                <w:szCs w:val="20"/>
                <w:shd w:fill="auto" w:val="clear"/>
              </w:rPr>
              <w:t>Instituto Federal Sul-rio-grandense</w:t>
            </w:r>
            <w:r>
              <w:rPr>
                <w:rFonts w:cs="Arial" w:ascii="Arial" w:hAnsi="Arial"/>
                <w:b/>
                <w:bCs/>
                <w:color w:val="000000"/>
                <w:sz w:val="20"/>
                <w:szCs w:val="20"/>
                <w:shd w:fill="auto" w:val="clear"/>
              </w:rPr>
              <w:t xml:space="preserve"> Câmpus Lajeado</w:t>
            </w:r>
          </w:p>
        </w:tc>
        <w:tc>
          <w:tcPr>
            <w:tcW w:w="1430" w:type="dxa"/>
            <w:tcBorders/>
            <w:vAlign w:val="center"/>
          </w:tcPr>
          <w:p>
            <w:pPr>
              <w:pStyle w:val="Normal"/>
              <w:widowControl w:val="false"/>
              <w:numPr>
                <w:ilvl w:val="0"/>
                <w:numId w:val="0"/>
              </w:numPr>
              <w:ind w:left="360" w:hanging="0"/>
              <w:jc w:val="center"/>
              <w:rPr>
                <w:color w:val="000000"/>
              </w:rPr>
            </w:pPr>
            <w:r>
              <w:rPr>
                <w:color w:val="000000"/>
              </w:rPr>
              <w:t>155144</w:t>
            </w:r>
          </w:p>
        </w:tc>
      </w:tr>
      <w:tr>
        <w:trPr/>
        <w:tc>
          <w:tcPr>
            <w:tcW w:w="7569" w:type="dxa"/>
            <w:tcBorders/>
            <w:vAlign w:val="center"/>
          </w:tcPr>
          <w:p>
            <w:pPr>
              <w:pStyle w:val="Normal"/>
              <w:widowControl w:val="false"/>
              <w:ind w:left="360" w:hanging="0"/>
              <w:jc w:val="both"/>
              <w:rPr>
                <w:color w:val="000000"/>
              </w:rPr>
            </w:pPr>
            <w:r>
              <w:rPr>
                <w:rFonts w:cs="Arial" w:ascii="Arial" w:hAnsi="Arial"/>
                <w:b w:val="false"/>
                <w:bCs w:val="false"/>
                <w:color w:val="000000"/>
                <w:sz w:val="20"/>
                <w:szCs w:val="20"/>
                <w:shd w:fill="auto" w:val="clear"/>
              </w:rPr>
              <w:t>Instituto Federal Sul-rio-grandense</w:t>
            </w:r>
            <w:r>
              <w:rPr>
                <w:rFonts w:cs="Arial" w:ascii="Arial" w:hAnsi="Arial"/>
                <w:b/>
                <w:bCs/>
                <w:color w:val="000000"/>
                <w:sz w:val="20"/>
                <w:szCs w:val="20"/>
                <w:shd w:fill="auto" w:val="clear"/>
              </w:rPr>
              <w:t xml:space="preserve"> Câmpus Sapiranga</w:t>
            </w:r>
          </w:p>
        </w:tc>
        <w:tc>
          <w:tcPr>
            <w:tcW w:w="1430" w:type="dxa"/>
            <w:tcBorders/>
            <w:vAlign w:val="center"/>
          </w:tcPr>
          <w:p>
            <w:pPr>
              <w:pStyle w:val="Normal"/>
              <w:widowControl w:val="false"/>
              <w:numPr>
                <w:ilvl w:val="0"/>
                <w:numId w:val="0"/>
              </w:numPr>
              <w:ind w:left="360" w:hanging="0"/>
              <w:jc w:val="center"/>
              <w:rPr>
                <w:color w:val="000000"/>
              </w:rPr>
            </w:pPr>
            <w:r>
              <w:rPr>
                <w:color w:val="000000"/>
              </w:rPr>
              <w:t>155146</w:t>
            </w:r>
          </w:p>
        </w:tc>
      </w:tr>
      <w:tr>
        <w:trPr/>
        <w:tc>
          <w:tcPr>
            <w:tcW w:w="7569" w:type="dxa"/>
            <w:tcBorders/>
            <w:vAlign w:val="center"/>
          </w:tcPr>
          <w:p>
            <w:pPr>
              <w:pStyle w:val="Normal"/>
              <w:widowControl w:val="false"/>
              <w:ind w:left="360" w:hanging="0"/>
              <w:jc w:val="both"/>
              <w:rPr>
                <w:color w:val="000000"/>
              </w:rPr>
            </w:pPr>
            <w:r>
              <w:rPr>
                <w:rFonts w:cs="Arial" w:ascii="Arial" w:hAnsi="Arial"/>
                <w:b w:val="false"/>
                <w:bCs w:val="false"/>
                <w:color w:val="000000"/>
                <w:sz w:val="20"/>
                <w:szCs w:val="20"/>
                <w:shd w:fill="auto" w:val="clear"/>
              </w:rPr>
              <w:t>Instituto Federal Sul-rio-grandense</w:t>
            </w:r>
            <w:r>
              <w:rPr>
                <w:rFonts w:cs="Arial" w:ascii="Arial" w:hAnsi="Arial"/>
                <w:b/>
                <w:bCs/>
                <w:color w:val="000000"/>
                <w:sz w:val="20"/>
                <w:szCs w:val="20"/>
                <w:shd w:fill="auto" w:val="clear"/>
              </w:rPr>
              <w:t xml:space="preserve"> Câmpus Novo Hamburgo</w:t>
            </w:r>
          </w:p>
        </w:tc>
        <w:tc>
          <w:tcPr>
            <w:tcW w:w="1430" w:type="dxa"/>
            <w:tcBorders/>
            <w:vAlign w:val="center"/>
          </w:tcPr>
          <w:p>
            <w:pPr>
              <w:pStyle w:val="Normal"/>
              <w:widowControl w:val="false"/>
              <w:numPr>
                <w:ilvl w:val="0"/>
                <w:numId w:val="0"/>
              </w:numPr>
              <w:ind w:left="360" w:hanging="0"/>
              <w:jc w:val="center"/>
              <w:rPr>
                <w:color w:val="000000"/>
              </w:rPr>
            </w:pPr>
            <w:r>
              <w:rPr>
                <w:color w:val="000000"/>
              </w:rPr>
              <w:t>158126</w:t>
            </w:r>
          </w:p>
        </w:tc>
      </w:tr>
      <w:tr>
        <w:trPr/>
        <w:tc>
          <w:tcPr>
            <w:tcW w:w="7569" w:type="dxa"/>
            <w:tcBorders/>
            <w:vAlign w:val="center"/>
          </w:tcPr>
          <w:p>
            <w:pPr>
              <w:pStyle w:val="Normal"/>
              <w:widowControl w:val="false"/>
              <w:ind w:left="360" w:hanging="0"/>
              <w:jc w:val="both"/>
              <w:rPr>
                <w:color w:val="000000"/>
              </w:rPr>
            </w:pPr>
            <w:r>
              <w:rPr>
                <w:rFonts w:cs="Arial" w:ascii="Arial" w:hAnsi="Arial"/>
                <w:b w:val="false"/>
                <w:bCs w:val="false"/>
                <w:color w:val="000000"/>
                <w:sz w:val="20"/>
                <w:szCs w:val="20"/>
                <w:shd w:fill="auto" w:val="clear"/>
              </w:rPr>
              <w:t>Instituto Federal Sul-rio-grandense</w:t>
            </w:r>
            <w:r>
              <w:rPr>
                <w:rFonts w:cs="Arial" w:ascii="Arial" w:hAnsi="Arial"/>
                <w:b/>
                <w:bCs/>
                <w:color w:val="000000"/>
                <w:sz w:val="20"/>
                <w:szCs w:val="20"/>
                <w:shd w:fill="auto" w:val="clear"/>
              </w:rPr>
              <w:t xml:space="preserve"> Câmpus Jaguarão</w:t>
            </w:r>
          </w:p>
        </w:tc>
        <w:tc>
          <w:tcPr>
            <w:tcW w:w="1430" w:type="dxa"/>
            <w:tcBorders/>
            <w:vAlign w:val="center"/>
          </w:tcPr>
          <w:p>
            <w:pPr>
              <w:pStyle w:val="Normal"/>
              <w:widowControl w:val="false"/>
              <w:numPr>
                <w:ilvl w:val="0"/>
                <w:numId w:val="0"/>
              </w:numPr>
              <w:ind w:left="360" w:hanging="0"/>
              <w:jc w:val="center"/>
              <w:rPr>
                <w:color w:val="000000"/>
              </w:rPr>
            </w:pPr>
            <w:r>
              <w:rPr>
                <w:color w:val="000000"/>
              </w:rPr>
              <w:t>158126</w:t>
            </w:r>
          </w:p>
        </w:tc>
      </w:tr>
      <w:tr>
        <w:trPr/>
        <w:tc>
          <w:tcPr>
            <w:tcW w:w="7569" w:type="dxa"/>
            <w:tcBorders/>
            <w:vAlign w:val="center"/>
          </w:tcPr>
          <w:p>
            <w:pPr>
              <w:pStyle w:val="Normal"/>
              <w:widowControl w:val="false"/>
              <w:ind w:left="360" w:hanging="0"/>
              <w:jc w:val="both"/>
              <w:rPr>
                <w:color w:val="000000"/>
              </w:rPr>
            </w:pPr>
            <w:r>
              <w:rPr>
                <w:rFonts w:cs="Arial" w:ascii="Arial" w:hAnsi="Arial"/>
                <w:b w:val="false"/>
                <w:bCs w:val="false"/>
                <w:color w:val="000000"/>
                <w:sz w:val="20"/>
                <w:szCs w:val="20"/>
                <w:shd w:fill="auto" w:val="clear"/>
              </w:rPr>
              <w:t>Instituto Federal Sul-rio-grandense</w:t>
            </w:r>
            <w:r>
              <w:rPr>
                <w:rFonts w:cs="Arial" w:ascii="Arial" w:hAnsi="Arial"/>
                <w:b/>
                <w:bCs/>
                <w:color w:val="000000"/>
                <w:sz w:val="20"/>
                <w:szCs w:val="20"/>
                <w:shd w:fill="auto" w:val="clear"/>
              </w:rPr>
              <w:t xml:space="preserve"> Câmpus São Leopoldo</w:t>
            </w:r>
          </w:p>
        </w:tc>
        <w:tc>
          <w:tcPr>
            <w:tcW w:w="1430" w:type="dxa"/>
            <w:tcBorders/>
            <w:vAlign w:val="center"/>
          </w:tcPr>
          <w:p>
            <w:pPr>
              <w:pStyle w:val="Normal"/>
              <w:widowControl w:val="false"/>
              <w:numPr>
                <w:ilvl w:val="0"/>
                <w:numId w:val="0"/>
              </w:numPr>
              <w:ind w:left="360" w:hanging="0"/>
              <w:jc w:val="center"/>
              <w:rPr>
                <w:color w:val="000000"/>
              </w:rPr>
            </w:pPr>
            <w:r>
              <w:rPr>
                <w:color w:val="000000"/>
              </w:rPr>
              <w:t>158126</w:t>
            </w:r>
          </w:p>
        </w:tc>
      </w:tr>
    </w:tbl>
    <w:p>
      <w:pPr>
        <w:pStyle w:val="Nivel01"/>
        <w:numPr>
          <w:ilvl w:val="0"/>
          <w:numId w:val="0"/>
        </w:numPr>
        <w:ind w:left="0" w:hanging="0"/>
        <w:rPr>
          <w:i/>
          <w:i/>
          <w:color w:val="000000"/>
        </w:rPr>
      </w:pPr>
      <w:r>
        <w:rPr>
          <w:i/>
          <w:color w:val="000000"/>
        </w:rPr>
      </w:r>
    </w:p>
    <w:p>
      <w:pPr>
        <w:pStyle w:val="Nivel01"/>
        <w:numPr>
          <w:ilvl w:val="0"/>
          <w:numId w:val="1"/>
        </w:numPr>
        <w:ind w:left="0" w:hanging="0"/>
        <w:rPr>
          <w:color w:val="000000"/>
        </w:rPr>
      </w:pPr>
      <w:r>
        <w:rPr>
          <w:color w:val="000000"/>
        </w:rPr>
        <w:t xml:space="preserve">DA ADESÃO À ATA DE REGISTRO DE PREÇOS </w:t>
      </w:r>
    </w:p>
    <w:p>
      <w:pPr>
        <w:pStyle w:val="Nvel2Red"/>
        <w:numPr>
          <w:ilvl w:val="1"/>
          <w:numId w:val="1"/>
        </w:numPr>
        <w:ind w:left="0" w:hanging="0"/>
        <w:rPr>
          <w:color w:val="000000"/>
        </w:rPr>
      </w:pPr>
      <w:r>
        <w:rPr>
          <w:i w:val="false"/>
          <w:iCs w:val="false"/>
          <w:strike w:val="false"/>
          <w:dstrike w:val="false"/>
          <w:color w:val="000000"/>
          <w:lang w:eastAsia="en-US"/>
        </w:rPr>
        <w:t xml:space="preserve"> </w:t>
      </w:r>
      <w:r>
        <w:rPr>
          <w:i w:val="false"/>
          <w:iCs w:val="false"/>
          <w:strike w:val="false"/>
          <w:dstrike w:val="false"/>
          <w:color w:val="000000"/>
          <w:lang w:eastAsia="en-US"/>
        </w:rPr>
        <w:t>Não será admitida a adesão à ata de registro de preços decorrente desta licitação ou desta contratação direta, conforme justificativa apresentada nos estudos técnicos preliminares.</w:t>
      </w:r>
    </w:p>
    <w:p>
      <w:pPr>
        <w:pStyle w:val="SubTitNN"/>
        <w:rPr>
          <w:color w:val="000000"/>
        </w:rPr>
      </w:pPr>
      <w:r>
        <w:rPr>
          <w:color w:val="000000"/>
        </w:rPr>
        <w:t>Vedação a acréscimo de quantitativos</w:t>
      </w:r>
    </w:p>
    <w:p>
      <w:pPr>
        <w:pStyle w:val="Nivel2"/>
        <w:numPr>
          <w:ilvl w:val="1"/>
          <w:numId w:val="1"/>
        </w:numPr>
        <w:ind w:left="0" w:hanging="0"/>
        <w:rPr>
          <w:color w:val="000000"/>
        </w:rPr>
      </w:pPr>
      <w:r>
        <w:rPr>
          <w:color w:val="000000"/>
        </w:rPr>
        <w:t>É vedado efetuar acréscimos nos quantitativos fixados na ata de registro de preços.</w:t>
      </w:r>
    </w:p>
    <w:p>
      <w:pPr>
        <w:pStyle w:val="Nivel01"/>
        <w:numPr>
          <w:ilvl w:val="0"/>
          <w:numId w:val="1"/>
        </w:numPr>
        <w:ind w:left="0" w:hanging="0"/>
        <w:rPr>
          <w:color w:val="000000"/>
        </w:rPr>
      </w:pPr>
      <w:r>
        <w:rPr>
          <w:color w:val="000000"/>
        </w:rPr>
        <w:t>VALIDADE, FORMALIZAÇÃO DA ATA DE REGISTRO DE PREÇOS E CADASTRO RESERVA</w:t>
      </w:r>
    </w:p>
    <w:p>
      <w:pPr>
        <w:pStyle w:val="Nivel2"/>
        <w:numPr>
          <w:ilvl w:val="1"/>
          <w:numId w:val="1"/>
        </w:numPr>
        <w:ind w:left="0" w:hanging="0"/>
        <w:rPr>
          <w:color w:val="000000"/>
        </w:rPr>
      </w:pPr>
      <w:r>
        <w:rPr>
          <w:color w:val="000000"/>
        </w:rPr>
        <w:t>A validade da Ata de Registro de Preços será de 1 (um) ano, contado a partir do primeiro dia útil subsequente à data de divulgação no PNCP</w:t>
      </w:r>
      <w:r>
        <w:rPr>
          <w:color w:val="000000"/>
        </w:rPr>
        <w:t>, podendo ser prorrogada por igual período, mediante a anuência do fornecedor, desde que comprovado o preço vantajoso.</w:t>
      </w:r>
    </w:p>
    <w:p>
      <w:pPr>
        <w:pStyle w:val="Nvel3R"/>
        <w:numPr>
          <w:ilvl w:val="2"/>
          <w:numId w:val="1"/>
        </w:numPr>
        <w:ind w:left="284" w:hanging="0"/>
        <w:rPr>
          <w:color w:val="000000"/>
        </w:rPr>
      </w:pPr>
      <w:r>
        <w:rPr>
          <w:i w:val="false"/>
          <w:iCs w:val="false"/>
          <w:color w:val="000000"/>
          <w:shd w:fill="auto" w:val="clear"/>
        </w:rPr>
        <w:t xml:space="preserve">Em caso de prorrogação da ata, </w:t>
      </w:r>
      <w:r>
        <w:rPr>
          <w:color w:val="000000"/>
          <w:shd w:fill="auto" w:val="clear"/>
        </w:rPr>
        <w:t xml:space="preserve">poderá </w:t>
      </w:r>
      <w:r>
        <w:rPr>
          <w:i w:val="false"/>
          <w:iCs w:val="false"/>
          <w:color w:val="000000"/>
          <w:shd w:fill="auto" w:val="clear"/>
        </w:rPr>
        <w:t>ser renovado o quantitativo originalmente registrado.</w:t>
      </w:r>
    </w:p>
    <w:p>
      <w:pPr>
        <w:pStyle w:val="Nvel3"/>
        <w:numPr>
          <w:ilvl w:val="2"/>
          <w:numId w:val="1"/>
        </w:numPr>
        <w:ind w:left="284" w:hanging="0"/>
        <w:rPr>
          <w:color w:val="000000"/>
        </w:rPr>
      </w:pPr>
      <w:r>
        <w:rPr>
          <w:color w:val="000000"/>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left="284" w:hanging="0"/>
        <w:rPr>
          <w:color w:val="000000"/>
        </w:rPr>
      </w:pPr>
      <w:r>
        <w:rPr>
          <w:color w:val="000000"/>
        </w:rPr>
        <w:t>Na formalização do contrato ou do instrumento substituto deverá haver a indicação da disponibilidade dos créditos orçamentários respectivos.</w:t>
      </w:r>
    </w:p>
    <w:p>
      <w:pPr>
        <w:pStyle w:val="Nivel2"/>
        <w:numPr>
          <w:ilvl w:val="1"/>
          <w:numId w:val="1"/>
        </w:numPr>
        <w:ind w:left="0" w:hanging="0"/>
        <w:rPr>
          <w:color w:val="000000"/>
        </w:rPr>
      </w:pPr>
      <w:r>
        <w:rPr>
          <w:color w:val="000000"/>
        </w:rPr>
        <w:t>A contratação com os fornecedores registrados na ata será formalizada pelo órgão ou pela en</w:t>
      </w:r>
      <w:r>
        <w:rPr>
          <w:rFonts w:eastAsia="Arial"/>
          <w:color w:val="000000"/>
        </w:rPr>
        <w:t>ti</w:t>
      </w:r>
      <w:r>
        <w:rPr>
          <w:color w:val="000000"/>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left="284" w:hanging="0"/>
        <w:rPr>
          <w:color w:val="000000"/>
        </w:rPr>
      </w:pPr>
      <w:r>
        <w:rPr>
          <w:color w:val="000000"/>
        </w:rPr>
        <w:t xml:space="preserve"> </w:t>
      </w:r>
      <w:r>
        <w:rPr>
          <w:color w:val="000000"/>
        </w:rPr>
        <w:t>O instrumento contratual de que trata o item 5.2. deverá ser assinado no prazo de validade da ata de registro de preços.</w:t>
      </w:r>
    </w:p>
    <w:p>
      <w:pPr>
        <w:pStyle w:val="Nivel2"/>
        <w:numPr>
          <w:ilvl w:val="1"/>
          <w:numId w:val="1"/>
        </w:numPr>
        <w:ind w:left="0" w:hanging="0"/>
        <w:rPr>
          <w:color w:val="000000"/>
        </w:rPr>
      </w:pPr>
      <w:r>
        <w:rPr>
          <w:color w:val="000000"/>
        </w:rPr>
        <w:t>Os contratos decorrentes do sistema de registro de preços poderão ser alterados, observado o art. 124 da Lei nº 14.133, de 2021.</w:t>
      </w:r>
    </w:p>
    <w:p>
      <w:pPr>
        <w:pStyle w:val="Nivel2"/>
        <w:numPr>
          <w:ilvl w:val="1"/>
          <w:numId w:val="1"/>
        </w:numPr>
        <w:ind w:left="0" w:hanging="0"/>
        <w:rPr>
          <w:color w:val="000000"/>
        </w:rPr>
      </w:pPr>
      <w:r>
        <w:rPr>
          <w:color w:val="000000"/>
        </w:rPr>
        <w:t>Após a homologação da licitação ou da contratação direta, deverão ser observadas as seguintes condições para formalização da ata de registro de preços:</w:t>
      </w:r>
    </w:p>
    <w:p>
      <w:pPr>
        <w:pStyle w:val="Nvel3"/>
        <w:numPr>
          <w:ilvl w:val="2"/>
          <w:numId w:val="1"/>
        </w:numPr>
        <w:ind w:left="284" w:hanging="0"/>
        <w:rPr>
          <w:color w:val="000000"/>
        </w:rPr>
      </w:pPr>
      <w:r>
        <w:rPr>
          <w:color w:val="000000"/>
        </w:rPr>
        <w:t>Serão registrados na ata os preços e os quantita</w:t>
      </w:r>
      <w:r>
        <w:rPr>
          <w:rFonts w:eastAsia="Arial"/>
          <w:color w:val="000000"/>
        </w:rPr>
        <w:t>ti</w:t>
      </w:r>
      <w:r>
        <w:rPr>
          <w:color w:val="000000"/>
        </w:rPr>
        <w:t>vos do adjudicatário, devendo ser observada a possibilidad</w:t>
      </w:r>
      <w:r>
        <w:rPr>
          <w:i w:val="false"/>
          <w:iCs w:val="false"/>
          <w:color w:val="000000"/>
        </w:rPr>
        <w:t xml:space="preserve">e de o licitante oferecer ou não proposta em quantitativo inferior ao máximo previsto no edital </w:t>
      </w:r>
      <w:r>
        <w:rPr>
          <w:color w:val="000000"/>
        </w:rPr>
        <w:t>e se obrigar nos limites dela;</w:t>
      </w:r>
    </w:p>
    <w:p>
      <w:pPr>
        <w:pStyle w:val="Nvel3"/>
        <w:numPr>
          <w:ilvl w:val="2"/>
          <w:numId w:val="1"/>
        </w:numPr>
        <w:ind w:left="284" w:hanging="0"/>
        <w:rPr>
          <w:color w:val="000000"/>
        </w:rPr>
      </w:pPr>
      <w:r>
        <w:rPr>
          <w:color w:val="000000"/>
        </w:rPr>
        <w:t>Será incluído na ata, na forma de anexo, o registro dos licitantes ou dos fornecedores que:</w:t>
      </w:r>
    </w:p>
    <w:p>
      <w:pPr>
        <w:pStyle w:val="Nvel4"/>
        <w:numPr>
          <w:ilvl w:val="3"/>
          <w:numId w:val="1"/>
        </w:numPr>
        <w:ind w:left="567" w:hanging="0"/>
        <w:rPr>
          <w:color w:val="000000"/>
        </w:rPr>
      </w:pPr>
      <w:r>
        <w:rPr>
          <w:color w:val="000000"/>
        </w:rPr>
        <w:t xml:space="preserve">Aceitarem cotar os bens, as obras ou os serviços com preços iguais aos do adjudicatário, observada a classificação da licitação; e </w:t>
      </w:r>
    </w:p>
    <w:p>
      <w:pPr>
        <w:pStyle w:val="Nvel4"/>
        <w:numPr>
          <w:ilvl w:val="3"/>
          <w:numId w:val="1"/>
        </w:numPr>
        <w:ind w:left="567" w:hanging="0"/>
        <w:rPr>
          <w:color w:val="000000"/>
        </w:rPr>
      </w:pPr>
      <w:r>
        <w:rPr>
          <w:color w:val="000000"/>
        </w:rPr>
        <w:t xml:space="preserve">Mantiverem sua proposta original. </w:t>
      </w:r>
      <w:bookmarkStart w:id="1" w:name="cadastro_reserva"/>
      <w:bookmarkEnd w:id="1"/>
    </w:p>
    <w:p>
      <w:pPr>
        <w:pStyle w:val="Nvel3"/>
        <w:numPr>
          <w:ilvl w:val="2"/>
          <w:numId w:val="1"/>
        </w:numPr>
        <w:ind w:left="284" w:hanging="0"/>
        <w:rPr>
          <w:color w:val="000000"/>
        </w:rPr>
      </w:pPr>
      <w:r>
        <w:rPr>
          <w:color w:val="000000"/>
        </w:rPr>
        <w:t>Será respeitada, nas contratações, a ordem de classificação dos licitantes ou dos fornecedores registrados na ata.</w:t>
      </w:r>
    </w:p>
    <w:p>
      <w:pPr>
        <w:pStyle w:val="Nivel2"/>
        <w:numPr>
          <w:ilvl w:val="1"/>
          <w:numId w:val="1"/>
        </w:numPr>
        <w:ind w:left="0" w:hanging="0"/>
        <w:rPr>
          <w:color w:val="000000"/>
        </w:rPr>
      </w:pPr>
      <w:r>
        <w:rPr>
          <w:color w:val="000000"/>
        </w:rPr>
        <w:t>O registro a que se refere o item 5.4.2</w:t>
      </w:r>
      <w:r>
        <w:rPr>
          <w:b/>
          <w:bCs/>
          <w:color w:val="000000"/>
        </w:rPr>
        <w:t xml:space="preserve"> </w:t>
      </w:r>
      <w:r>
        <w:rPr>
          <w:color w:val="000000"/>
        </w:rPr>
        <w:t>tem por obje</w:t>
      </w:r>
      <w:r>
        <w:rPr>
          <w:rFonts w:eastAsia="Arial"/>
          <w:color w:val="000000"/>
        </w:rPr>
        <w:t>ti</w:t>
      </w:r>
      <w:r>
        <w:rPr>
          <w:color w:val="000000"/>
        </w:rPr>
        <w:t>vo a formação de cadastro de reserva para o caso de impossibilidade de atendimento pelo signatário da ata.</w:t>
      </w:r>
    </w:p>
    <w:p>
      <w:pPr>
        <w:pStyle w:val="Nivel2"/>
        <w:numPr>
          <w:ilvl w:val="1"/>
          <w:numId w:val="1"/>
        </w:numPr>
        <w:ind w:left="0" w:hanging="0"/>
        <w:rPr>
          <w:color w:val="000000"/>
        </w:rPr>
      </w:pPr>
      <w:r>
        <w:rPr>
          <w:color w:val="000000"/>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left="0" w:hanging="0"/>
        <w:rPr>
          <w:color w:val="000000"/>
        </w:rPr>
      </w:pPr>
      <w:r>
        <w:rPr>
          <w:color w:val="000000"/>
        </w:rPr>
        <w:t xml:space="preserve">A habilitação dos licitantes que comporão o cadastro de reserva a que se refere o item </w:t>
      </w:r>
      <w:r>
        <w:rPr>
          <w:color w:val="000000"/>
        </w:rPr>
        <w:fldChar w:fldCharType="begin"/>
      </w:r>
      <w:r>
        <w:rPr>
          <w:color w:val="000000"/>
        </w:rPr>
        <w:instrText xml:space="preserve"> REF cadastro_reserva \r \h </w:instrText>
      </w:r>
      <w:r>
        <w:rPr>
          <w:color w:val="000000"/>
        </w:rPr>
        <w:fldChar w:fldCharType="separate"/>
      </w:r>
      <w:r>
        <w:rPr>
          <w:color w:val="000000"/>
        </w:rPr>
        <w:t>5.4.2.2</w:t>
      </w:r>
      <w:r>
        <w:rPr>
          <w:color w:val="000000"/>
        </w:rPr>
        <w:fldChar w:fldCharType="end"/>
      </w:r>
      <w:r>
        <w:rPr>
          <w:color w:val="000000"/>
        </w:rPr>
        <w:t xml:space="preserve"> somente será efetuada quando houver necessidade de contratação dos licitantes remanescentes, nas seguintes hipóteses:</w:t>
      </w:r>
    </w:p>
    <w:p>
      <w:pPr>
        <w:pStyle w:val="Nvel3"/>
        <w:numPr>
          <w:ilvl w:val="2"/>
          <w:numId w:val="1"/>
        </w:numPr>
        <w:ind w:left="284" w:hanging="0"/>
        <w:rPr>
          <w:color w:val="000000"/>
        </w:rPr>
      </w:pPr>
      <w:r>
        <w:rPr>
          <w:color w:val="000000"/>
        </w:rPr>
        <w:t>Quando o licitante ve</w:t>
      </w:r>
      <w:r>
        <w:rPr>
          <w:i w:val="false"/>
          <w:iCs w:val="false"/>
          <w:color w:val="000000"/>
        </w:rPr>
        <w:t xml:space="preserve">ncedor não assinar a ata de registro de preços, no prazo e nas condições estabelecidos no edital </w:t>
      </w:r>
      <w:r>
        <w:rPr>
          <w:color w:val="000000"/>
        </w:rPr>
        <w:t>e</w:t>
      </w:r>
    </w:p>
    <w:p>
      <w:pPr>
        <w:pStyle w:val="Nvel3"/>
        <w:numPr>
          <w:ilvl w:val="2"/>
          <w:numId w:val="1"/>
        </w:numPr>
        <w:ind w:left="284" w:hanging="0"/>
        <w:rPr>
          <w:color w:val="000000"/>
        </w:rPr>
      </w:pPr>
      <w:r>
        <w:rPr>
          <w:color w:val="000000"/>
        </w:rPr>
        <w:t xml:space="preserve">Quando houver o cancelamento do registro do licitante ou do registro de preços nas hipóteses previstas no item </w:t>
      </w:r>
      <w:r>
        <w:rPr>
          <w:color w:val="000000"/>
        </w:rPr>
        <w:fldChar w:fldCharType="begin"/>
      </w:r>
      <w:r>
        <w:rPr>
          <w:color w:val="000000"/>
        </w:rPr>
        <w:instrText xml:space="preserve"> REF cancelamento \r \h </w:instrText>
      </w:r>
      <w:r>
        <w:rPr>
          <w:color w:val="000000"/>
        </w:rPr>
        <w:fldChar w:fldCharType="separate"/>
      </w:r>
      <w:r>
        <w:rPr>
          <w:color w:val="000000"/>
        </w:rPr>
        <w:t>9</w:t>
      </w:r>
      <w:r>
        <w:rPr>
          <w:color w:val="000000"/>
        </w:rPr>
        <w:fldChar w:fldCharType="end"/>
      </w:r>
      <w:r>
        <w:rPr>
          <w:color w:val="000000"/>
        </w:rPr>
        <w:t>.</w:t>
      </w:r>
    </w:p>
    <w:p>
      <w:pPr>
        <w:pStyle w:val="Nivel2"/>
        <w:numPr>
          <w:ilvl w:val="1"/>
          <w:numId w:val="1"/>
        </w:numPr>
        <w:ind w:left="0" w:hanging="0"/>
        <w:rPr>
          <w:color w:val="000000"/>
        </w:rPr>
      </w:pPr>
      <w:r>
        <w:rPr>
          <w:color w:val="000000"/>
        </w:rPr>
        <w:t>O preço registrado com indicação dos licitantes e fornecedores será divulgado no PNCP e ficará disponibilizado durante a vigência da ata de registro de preços.</w:t>
      </w:r>
    </w:p>
    <w:p>
      <w:pPr>
        <w:pStyle w:val="Nivel2"/>
        <w:numPr>
          <w:ilvl w:val="1"/>
          <w:numId w:val="1"/>
        </w:numPr>
        <w:ind w:left="0" w:hanging="0"/>
        <w:rPr>
          <w:color w:val="000000"/>
        </w:rPr>
      </w:pPr>
      <w:r>
        <w:rPr>
          <w:color w:val="00000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left="284" w:hanging="0"/>
        <w:rPr>
          <w:color w:val="000000"/>
        </w:rPr>
      </w:pPr>
      <w:r>
        <w:rPr>
          <w:color w:val="000000"/>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left="0" w:hanging="0"/>
        <w:rPr>
          <w:color w:val="000000"/>
        </w:rPr>
      </w:pPr>
      <w:r>
        <w:rPr>
          <w:color w:val="000000"/>
        </w:rPr>
        <w:t>A ata de registro de preços será assinada por meio de assinatura digital e disponibilizada no Sistema de Registro de Preços.</w:t>
      </w:r>
    </w:p>
    <w:p>
      <w:pPr>
        <w:pStyle w:val="Nivel2"/>
        <w:numPr>
          <w:ilvl w:val="1"/>
          <w:numId w:val="1"/>
        </w:numPr>
        <w:ind w:left="0" w:hanging="0"/>
        <w:rPr>
          <w:color w:val="000000"/>
        </w:rPr>
      </w:pPr>
      <w:r>
        <w:rPr>
          <w:color w:val="000000"/>
        </w:rPr>
        <w:t>Quando o convocado não assinar a ata de registro de preços no prazo e nas condições estabelecidos no edital,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left="0" w:hanging="0"/>
        <w:rPr>
          <w:color w:val="000000"/>
        </w:rPr>
      </w:pPr>
      <w:r>
        <w:rPr>
          <w:color w:val="000000"/>
        </w:rPr>
        <w:t xml:space="preserve">Na hipótese de nenhum dos licitantes que trata o item 5.4.2.1, aceitar a contratação nos termos do </w:t>
      </w:r>
      <w:r>
        <w:rPr>
          <w:i w:val="false"/>
          <w:iCs w:val="false"/>
          <w:color w:val="000000"/>
          <w:u w:val="none"/>
        </w:rPr>
        <w:t>item anterior, a Administração, observados o valor es</w:t>
      </w:r>
      <w:r>
        <w:rPr>
          <w:rFonts w:eastAsia="Arial"/>
          <w:i w:val="false"/>
          <w:iCs w:val="false"/>
          <w:color w:val="000000"/>
          <w:u w:val="none"/>
        </w:rPr>
        <w:t>ti</w:t>
      </w:r>
      <w:r>
        <w:rPr>
          <w:i w:val="false"/>
          <w:iCs w:val="false"/>
          <w:color w:val="000000"/>
          <w:u w:val="none"/>
        </w:rPr>
        <w:t>mado e sua eventual atualização nos termos do edital, pod</w:t>
      </w:r>
      <w:r>
        <w:rPr>
          <w:color w:val="000000"/>
        </w:rPr>
        <w:t>erá:</w:t>
      </w:r>
    </w:p>
    <w:p>
      <w:pPr>
        <w:pStyle w:val="Nvel3"/>
        <w:numPr>
          <w:ilvl w:val="2"/>
          <w:numId w:val="1"/>
        </w:numPr>
        <w:ind w:left="284" w:hanging="0"/>
        <w:rPr>
          <w:color w:val="000000"/>
        </w:rPr>
      </w:pPr>
      <w:r>
        <w:rPr>
          <w:color w:val="000000"/>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left="284" w:hanging="0"/>
        <w:rPr>
          <w:color w:val="000000"/>
        </w:rPr>
      </w:pPr>
      <w:r>
        <w:rPr>
          <w:color w:val="000000"/>
        </w:rPr>
        <w:t>Adjudicar e firmar o contrato nas condições ofertadas pelos licitantes ou fornecedores remanescentes, atendida a ordem classificatória, quando frustrada a negociação de melhor condição.</w:t>
      </w:r>
    </w:p>
    <w:p>
      <w:pPr>
        <w:pStyle w:val="Nivel2"/>
        <w:numPr>
          <w:ilvl w:val="1"/>
          <w:numId w:val="1"/>
        </w:numPr>
        <w:ind w:left="0" w:hanging="0"/>
        <w:rPr>
          <w:color w:val="000000"/>
        </w:rPr>
      </w:pPr>
      <w:r>
        <w:rPr>
          <w:color w:val="00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left="0" w:hanging="0"/>
        <w:rPr>
          <w:color w:val="000000"/>
        </w:rPr>
      </w:pPr>
      <w:r>
        <w:rPr>
          <w:color w:val="000000"/>
        </w:rPr>
        <w:t>ALTERAÇÃO OU ATUALIZAÇÃO DOS PREÇOS REGISTRADOS</w:t>
      </w:r>
    </w:p>
    <w:p>
      <w:pPr>
        <w:pStyle w:val="Nivel2"/>
        <w:numPr>
          <w:ilvl w:val="1"/>
          <w:numId w:val="1"/>
        </w:numPr>
        <w:ind w:left="0" w:hanging="0"/>
        <w:rPr>
          <w:color w:val="000000"/>
        </w:rPr>
      </w:pPr>
      <w:r>
        <w:rPr>
          <w:color w:val="000000"/>
        </w:rPr>
        <w:t>Os preços registrados poderão ser alterados ou atualizados em decorrência de eventual redução dos preços pra</w:t>
      </w:r>
      <w:r>
        <w:rPr>
          <w:rFonts w:eastAsia="Calibri"/>
          <w:color w:val="000000"/>
        </w:rPr>
        <w:t>ti</w:t>
      </w:r>
      <w:r>
        <w:rPr>
          <w:color w:val="000000"/>
        </w:rPr>
        <w:t>cados no mercado ou de fato que eleve o custo dos bens, das obras ou dos serviços registrados, nas seguintes situações:</w:t>
      </w:r>
    </w:p>
    <w:p>
      <w:pPr>
        <w:pStyle w:val="Nvel3"/>
        <w:numPr>
          <w:ilvl w:val="2"/>
          <w:numId w:val="1"/>
        </w:numPr>
        <w:ind w:left="284" w:hanging="0"/>
        <w:rPr>
          <w:color w:val="000000"/>
        </w:rPr>
      </w:pPr>
      <w:r>
        <w:rPr>
          <w:color w:val="000000"/>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r>
        <w:rPr>
          <w:color w:val="000000"/>
        </w:rPr>
        <w:t>;</w:t>
      </w:r>
    </w:p>
    <w:p>
      <w:pPr>
        <w:pStyle w:val="Nvel3"/>
        <w:numPr>
          <w:ilvl w:val="2"/>
          <w:numId w:val="1"/>
        </w:numPr>
        <w:ind w:left="284" w:hanging="0"/>
        <w:rPr>
          <w:color w:val="000000"/>
        </w:rPr>
      </w:pPr>
      <w:r>
        <w:rPr>
          <w:color w:val="000000"/>
        </w:rPr>
        <w:t>Em caso de criação, alteração ou ex</w:t>
      </w:r>
      <w:r>
        <w:rPr>
          <w:rFonts w:eastAsia="Calibri"/>
          <w:color w:val="000000"/>
        </w:rPr>
        <w:t>ti</w:t>
      </w:r>
      <w:r>
        <w:rPr>
          <w:color w:val="000000"/>
        </w:rPr>
        <w:t xml:space="preserve">nção de quaisquer tributos ou encargos legais ou a superveniência de disposições legais, com comprovada repercussão sobre os preços registrados; </w:t>
      </w:r>
    </w:p>
    <w:p>
      <w:pPr>
        <w:pStyle w:val="Nvel3"/>
        <w:numPr>
          <w:ilvl w:val="2"/>
          <w:numId w:val="1"/>
        </w:numPr>
        <w:ind w:left="284" w:hanging="0"/>
        <w:rPr>
          <w:color w:val="000000"/>
        </w:rPr>
      </w:pPr>
      <w:r>
        <w:rPr>
          <w:color w:val="000000"/>
        </w:rPr>
        <w:t>Na hipótese de previsão no edital ou no aviso de contratação direta de cláusula de reajustamento ou repactuação sobre os preços registrados, nos termos da Lei nº 14.133, de 2021.</w:t>
      </w:r>
    </w:p>
    <w:p>
      <w:pPr>
        <w:pStyle w:val="Nvel4"/>
        <w:numPr>
          <w:ilvl w:val="3"/>
          <w:numId w:val="1"/>
        </w:numPr>
        <w:ind w:left="567" w:hanging="0"/>
        <w:rPr>
          <w:color w:val="000000"/>
        </w:rPr>
      </w:pPr>
      <w:r>
        <w:rPr>
          <w:color w:val="000000"/>
        </w:rPr>
        <w:t xml:space="preserve">No caso do reajustamento, deverá ser respeitada a contagem da anualidade e o índice previstos para a contratação;  </w:t>
      </w:r>
    </w:p>
    <w:p>
      <w:pPr>
        <w:pStyle w:val="Nvel4"/>
        <w:numPr>
          <w:ilvl w:val="3"/>
          <w:numId w:val="1"/>
        </w:numPr>
        <w:ind w:left="567" w:hanging="0"/>
        <w:rPr>
          <w:color w:val="000000"/>
        </w:rPr>
      </w:pPr>
      <w:r>
        <w:rPr>
          <w:color w:val="000000"/>
        </w:rPr>
        <w:t>No caso da repactuação, poderá ser a pedido do interessado, conforme critérios definidos para a contratação.</w:t>
      </w:r>
    </w:p>
    <w:p>
      <w:pPr>
        <w:pStyle w:val="Nivel01"/>
        <w:numPr>
          <w:ilvl w:val="0"/>
          <w:numId w:val="1"/>
        </w:numPr>
        <w:ind w:left="0" w:hanging="0"/>
        <w:rPr>
          <w:color w:val="000000"/>
        </w:rPr>
      </w:pPr>
      <w:r>
        <w:rPr>
          <w:color w:val="000000"/>
        </w:rPr>
        <w:t>NEGOCIAÇÃO DE PREÇOS REGISTRADOS</w:t>
      </w:r>
    </w:p>
    <w:p>
      <w:pPr>
        <w:pStyle w:val="Nivel2"/>
        <w:numPr>
          <w:ilvl w:val="1"/>
          <w:numId w:val="1"/>
        </w:numPr>
        <w:ind w:left="0" w:hanging="0"/>
        <w:rPr>
          <w:color w:val="000000"/>
        </w:rPr>
      </w:pPr>
      <w:r>
        <w:rPr>
          <w:color w:val="000000"/>
        </w:rPr>
        <w:t>Na hipótese de o preço registrado tornar-se superior ao preço pra</w:t>
      </w:r>
      <w:r>
        <w:rPr>
          <w:rFonts w:eastAsia="Calibri"/>
          <w:color w:val="000000"/>
        </w:rPr>
        <w:t>ti</w:t>
      </w:r>
      <w:r>
        <w:rPr>
          <w:color w:val="000000"/>
        </w:rPr>
        <w:t>cado no mercado por mo</w:t>
      </w:r>
      <w:r>
        <w:rPr>
          <w:rFonts w:eastAsia="Calibri"/>
          <w:color w:val="000000"/>
        </w:rPr>
        <w:t>ti</w:t>
      </w:r>
      <w:r>
        <w:rPr>
          <w:color w:val="000000"/>
        </w:rPr>
        <w:t>vo superveniente, o órgão ou en</w:t>
      </w:r>
      <w:r>
        <w:rPr>
          <w:rFonts w:eastAsia="Calibri"/>
          <w:color w:val="000000"/>
        </w:rPr>
        <w:t>ti</w:t>
      </w:r>
      <w:r>
        <w:rPr>
          <w:color w:val="000000"/>
        </w:rPr>
        <w:t>dade gerenciadora convocará o fornecedor para negociar a redução do preço registrado.</w:t>
      </w:r>
    </w:p>
    <w:p>
      <w:pPr>
        <w:pStyle w:val="Nvel3"/>
        <w:numPr>
          <w:ilvl w:val="2"/>
          <w:numId w:val="1"/>
        </w:numPr>
        <w:ind w:left="284" w:hanging="0"/>
        <w:rPr>
          <w:color w:val="000000"/>
        </w:rPr>
      </w:pPr>
      <w:r>
        <w:rPr>
          <w:color w:val="000000"/>
        </w:rPr>
        <w:t>Caso não aceite reduzir seu preço aos valores pra</w:t>
      </w:r>
      <w:r>
        <w:rPr>
          <w:rFonts w:eastAsia="Calibri"/>
          <w:color w:val="000000"/>
        </w:rPr>
        <w:t>ti</w:t>
      </w:r>
      <w:r>
        <w:rPr>
          <w:color w:val="000000"/>
        </w:rPr>
        <w:t>cados pelo mercado, o fornecedor será liberado do compromisso assumido quanto ao item registrado, sem aplicação de penalidades administrativas.</w:t>
      </w:r>
    </w:p>
    <w:p>
      <w:pPr>
        <w:pStyle w:val="Nvel3"/>
        <w:numPr>
          <w:ilvl w:val="2"/>
          <w:numId w:val="1"/>
        </w:numPr>
        <w:ind w:left="284" w:hanging="0"/>
        <w:rPr>
          <w:color w:val="000000"/>
        </w:rPr>
      </w:pPr>
      <w:r>
        <w:rPr>
          <w:color w:val="00000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numPr>
          <w:ilvl w:val="2"/>
          <w:numId w:val="1"/>
        </w:numPr>
        <w:ind w:left="284" w:hanging="0"/>
        <w:rPr>
          <w:color w:val="000000"/>
        </w:rPr>
      </w:pPr>
      <w:r>
        <w:rPr>
          <w:color w:val="000000"/>
        </w:rPr>
        <w:t>Se não obtiver êxito nas negociações, o órgão ou en</w:t>
      </w:r>
      <w:r>
        <w:rPr>
          <w:rFonts w:eastAsia="Calibri"/>
          <w:color w:val="000000"/>
        </w:rPr>
        <w:t>tid</w:t>
      </w:r>
      <w:r>
        <w:rPr>
          <w:color w:val="000000"/>
        </w:rPr>
        <w:t>ade gerenciadora procederá ao cancelamento da ata de registro de preços, adotando as medidas cabíveis para obtenção de contratação mais vantajosa.</w:t>
      </w:r>
      <w:bookmarkStart w:id="2" w:name="reducao_preco_mercado_negociacao_frustra"/>
      <w:bookmarkEnd w:id="2"/>
    </w:p>
    <w:p>
      <w:pPr>
        <w:pStyle w:val="Nvel3"/>
        <w:numPr>
          <w:ilvl w:val="2"/>
          <w:numId w:val="1"/>
        </w:numPr>
        <w:ind w:left="284" w:hanging="0"/>
        <w:rPr>
          <w:color w:val="000000"/>
        </w:rPr>
      </w:pPr>
      <w:r>
        <w:rPr>
          <w:rFonts w:cs="Calibri" w:ascii="Calibri" w:hAnsi="Calibri"/>
          <w:color w:val="000000"/>
        </w:rPr>
        <w:t>Na hipótese de</w:t>
      </w:r>
      <w:r>
        <w:rPr>
          <w:color w:val="000000"/>
        </w:rPr>
        <w:t xml:space="preserve"> redução do preço registrado, o gerenciador comunicará aos órgãos e às en</w:t>
      </w:r>
      <w:r>
        <w:rPr>
          <w:rFonts w:eastAsia="Calibri"/>
          <w:color w:val="000000"/>
        </w:rPr>
        <w:t>ti</w:t>
      </w:r>
      <w:r>
        <w:rPr>
          <w:color w:val="000000"/>
        </w:rPr>
        <w:t xml:space="preserve">dades que </w:t>
      </w:r>
      <w:r>
        <w:rPr>
          <w:rFonts w:eastAsia="Calibri"/>
          <w:color w:val="000000"/>
        </w:rPr>
        <w:t>ti</w:t>
      </w:r>
      <w:r>
        <w:rPr>
          <w:color w:val="000000"/>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left="0" w:hanging="0"/>
        <w:rPr>
          <w:color w:val="000000"/>
        </w:rPr>
      </w:pPr>
      <w:r>
        <w:rPr>
          <w:color w:val="00000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 w:name="hipotese_preco_mercado_maior"/>
      <w:bookmarkEnd w:id="3"/>
    </w:p>
    <w:p>
      <w:pPr>
        <w:pStyle w:val="Nvel3"/>
        <w:numPr>
          <w:ilvl w:val="2"/>
          <w:numId w:val="1"/>
        </w:numPr>
        <w:ind w:left="284" w:hanging="0"/>
        <w:rPr>
          <w:color w:val="000000"/>
        </w:rPr>
      </w:pPr>
      <w:r>
        <w:rPr>
          <w:color w:val="000000"/>
        </w:rPr>
        <w:t>Neste caso, o fornecedor encaminhará, juntamente com o pedido de alteração, a documentação comprobatória ou a planilha de custos que demonstre a inviabilidade do preço registrado em relação às condições inicialmente pactuadas.</w:t>
      </w:r>
      <w:bookmarkStart w:id="4" w:name="prova_preco_mercado_maior"/>
      <w:bookmarkEnd w:id="4"/>
    </w:p>
    <w:p>
      <w:pPr>
        <w:pStyle w:val="Nvel3"/>
        <w:numPr>
          <w:ilvl w:val="2"/>
          <w:numId w:val="1"/>
        </w:numPr>
        <w:ind w:left="284" w:hanging="0"/>
        <w:rPr>
          <w:color w:val="000000"/>
        </w:rPr>
      </w:pPr>
      <w:r>
        <w:rPr>
          <w:color w:val="000000"/>
        </w:rPr>
        <w:t>Na hipótese de não comprovação da existência de fato superveniente que inviabilize o preço registrado, o pedido será indeferido pelo órgão ou en</w:t>
      </w:r>
      <w:r>
        <w:rPr>
          <w:rFonts w:eastAsia="Calibri"/>
          <w:color w:val="000000"/>
        </w:rPr>
        <w:t>ti</w:t>
      </w:r>
      <w:r>
        <w:rPr>
          <w:color w:val="000000"/>
        </w:rPr>
        <w:t xml:space="preserve">dade gerenciadora e o fornecedor deverá cumprir as obrigações estabelecidas na ata, sob pena de cancelamento do seu registro, nos termos do item </w:t>
      </w:r>
      <w:r>
        <w:rPr>
          <w:color w:val="000000"/>
        </w:rPr>
        <w:fldChar w:fldCharType="begin"/>
      </w:r>
      <w:r>
        <w:rPr>
          <w:color w:val="000000"/>
        </w:rPr>
        <w:instrText xml:space="preserve"> REF cancelamento_do_fornecedor \r \h </w:instrText>
      </w:r>
      <w:r>
        <w:rPr>
          <w:color w:val="000000"/>
        </w:rPr>
        <w:fldChar w:fldCharType="separate"/>
      </w:r>
      <w:r>
        <w:rPr>
          <w:color w:val="000000"/>
        </w:rPr>
        <w:t>9.1</w:t>
      </w:r>
      <w:r>
        <w:rPr>
          <w:color w:val="000000"/>
        </w:rPr>
        <w:fldChar w:fldCharType="end"/>
      </w:r>
      <w:r>
        <w:rPr>
          <w:color w:val="000000"/>
        </w:rPr>
        <w:t>, sem prejuízo das sanções previstas na Lei nº 14.133, de 2021, e na legislação aplicável.</w:t>
      </w:r>
    </w:p>
    <w:p>
      <w:pPr>
        <w:pStyle w:val="Nvel3"/>
        <w:numPr>
          <w:ilvl w:val="2"/>
          <w:numId w:val="1"/>
        </w:numPr>
        <w:ind w:left="284" w:hanging="0"/>
        <w:rPr>
          <w:color w:val="000000"/>
        </w:rPr>
      </w:pPr>
      <w:r>
        <w:rPr>
          <w:color w:val="00000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left="284" w:hanging="0"/>
        <w:rPr>
          <w:color w:val="000000"/>
        </w:rPr>
      </w:pPr>
      <w:r>
        <w:rPr>
          <w:color w:val="000000"/>
        </w:rPr>
        <w:t xml:space="preserve">Se não obtiver êxito nas negociações, o órgão ou entidade gerenciadora procederá ao cancelamento da ata de registro de preços, nos termos do item </w:t>
      </w:r>
      <w:r>
        <w:rPr>
          <w:color w:val="000000"/>
        </w:rPr>
        <w:fldChar w:fldCharType="begin"/>
      </w:r>
      <w:r>
        <w:rPr>
          <w:color w:val="000000"/>
        </w:rPr>
        <w:instrText xml:space="preserve"> REF cancelamento_da_ata \r \h </w:instrText>
      </w:r>
      <w:r>
        <w:rPr>
          <w:color w:val="000000"/>
        </w:rPr>
        <w:fldChar w:fldCharType="separate"/>
      </w:r>
      <w:r>
        <w:rPr>
          <w:color w:val="000000"/>
        </w:rPr>
        <w:t>9.4</w:t>
      </w:r>
      <w:r>
        <w:rPr>
          <w:color w:val="000000"/>
        </w:rPr>
        <w:fldChar w:fldCharType="end"/>
      </w:r>
      <w:r>
        <w:rPr>
          <w:color w:val="000000"/>
        </w:rPr>
        <w:t>, e adotará as medidas cabíveis para a obtenção da contratação mais vantajosa.</w:t>
      </w:r>
    </w:p>
    <w:p>
      <w:pPr>
        <w:pStyle w:val="Nvel3"/>
        <w:numPr>
          <w:ilvl w:val="2"/>
          <w:numId w:val="1"/>
        </w:numPr>
        <w:ind w:left="284" w:hanging="0"/>
        <w:rPr>
          <w:color w:val="000000"/>
        </w:rPr>
      </w:pPr>
      <w:r>
        <w:rPr>
          <w:color w:val="000000"/>
        </w:rPr>
        <w:t xml:space="preserve">Na hipótese de comprovação da majoração do preço de mercado que inviabilize o preço registrado, conforme previsto no item </w:t>
      </w:r>
      <w:r>
        <w:rPr>
          <w:color w:val="000000"/>
        </w:rPr>
        <w:fldChar w:fldCharType="begin"/>
      </w:r>
      <w:r>
        <w:rPr>
          <w:color w:val="000000"/>
        </w:rPr>
        <w:instrText xml:space="preserve"> REF hipotese_preco_mercado_maior \r \h </w:instrText>
      </w:r>
      <w:r>
        <w:rPr>
          <w:color w:val="000000"/>
        </w:rPr>
        <w:fldChar w:fldCharType="separate"/>
      </w:r>
      <w:r>
        <w:rPr>
          <w:color w:val="000000"/>
        </w:rPr>
        <w:t>7.2</w:t>
      </w:r>
      <w:r>
        <w:rPr>
          <w:color w:val="000000"/>
        </w:rPr>
        <w:fldChar w:fldCharType="end"/>
      </w:r>
      <w:r>
        <w:rPr>
          <w:color w:val="000000"/>
        </w:rPr>
        <w:t xml:space="preserve"> e no item </w:t>
      </w:r>
      <w:r>
        <w:rPr>
          <w:color w:val="000000"/>
        </w:rPr>
        <w:fldChar w:fldCharType="begin"/>
      </w:r>
      <w:r>
        <w:rPr>
          <w:color w:val="000000"/>
        </w:rPr>
        <w:instrText xml:space="preserve"> REF prova_preco_mercado_maior \r \h </w:instrText>
      </w:r>
      <w:r>
        <w:rPr>
          <w:color w:val="000000"/>
        </w:rPr>
        <w:fldChar w:fldCharType="separate"/>
      </w:r>
      <w:r>
        <w:rPr>
          <w:color w:val="000000"/>
        </w:rPr>
        <w:t>7.2.1</w:t>
      </w:r>
      <w:r>
        <w:rPr>
          <w:color w:val="000000"/>
        </w:rPr>
        <w:fldChar w:fldCharType="end"/>
      </w:r>
      <w:r>
        <w:rPr>
          <w:color w:val="000000"/>
        </w:rPr>
        <w:t>, o órgão ou en</w:t>
      </w:r>
      <w:r>
        <w:rPr>
          <w:rFonts w:eastAsia="Calibri"/>
          <w:color w:val="000000"/>
        </w:rPr>
        <w:t>ti</w:t>
      </w:r>
      <w:r>
        <w:rPr>
          <w:color w:val="000000"/>
        </w:rPr>
        <w:t>dade gerenciadora atualizará o preço registrado, de acordo com a realidade dos valores praticados pelo mercado.</w:t>
      </w:r>
    </w:p>
    <w:p>
      <w:pPr>
        <w:pStyle w:val="Nvel3"/>
        <w:numPr>
          <w:ilvl w:val="2"/>
          <w:numId w:val="1"/>
        </w:numPr>
        <w:ind w:left="284" w:hanging="0"/>
        <w:rPr>
          <w:color w:val="000000"/>
        </w:rPr>
      </w:pPr>
      <w:r>
        <w:rPr>
          <w:color w:val="000000"/>
        </w:rPr>
        <w:t xml:space="preserve"> </w:t>
      </w:r>
      <w:r>
        <w:rPr>
          <w:color w:val="000000"/>
        </w:rPr>
        <w:t>O órgão ou en</w:t>
      </w:r>
      <w:r>
        <w:rPr>
          <w:rFonts w:eastAsia="Calibri"/>
          <w:color w:val="000000"/>
        </w:rPr>
        <w:t>ti</w:t>
      </w:r>
      <w:r>
        <w:rPr>
          <w:color w:val="000000"/>
        </w:rPr>
        <w:t>dade gerenciadora comunicará aos órgãos e às en</w:t>
      </w:r>
      <w:r>
        <w:rPr>
          <w:rFonts w:eastAsia="Calibri"/>
          <w:color w:val="000000"/>
        </w:rPr>
        <w:t>ti</w:t>
      </w:r>
      <w:r>
        <w:rPr>
          <w:color w:val="000000"/>
        </w:rPr>
        <w:t xml:space="preserve">dades que </w:t>
      </w:r>
      <w:r>
        <w:rPr>
          <w:rFonts w:eastAsia="Calibri"/>
          <w:color w:val="000000"/>
        </w:rPr>
        <w:t>ti</w:t>
      </w:r>
      <w:r>
        <w:rPr>
          <w:color w:val="000000"/>
        </w:rPr>
        <w:t>verem firmado contratos decorrentes da ata de registro de preços sobre a efe</w:t>
      </w:r>
      <w:r>
        <w:rPr>
          <w:rFonts w:eastAsia="Calibri"/>
          <w:color w:val="000000"/>
        </w:rPr>
        <w:t>ti</w:t>
      </w:r>
      <w:r>
        <w:rPr>
          <w:color w:val="000000"/>
        </w:rPr>
        <w:t>va alteração do preço registrado, para que avaliem a necessidade de alteração contratual, observado o disposto no art. 124 da Lei nº 14.133, de 2021.</w:t>
      </w:r>
    </w:p>
    <w:p>
      <w:pPr>
        <w:pStyle w:val="Nivel01"/>
        <w:numPr>
          <w:ilvl w:val="0"/>
          <w:numId w:val="1"/>
        </w:numPr>
        <w:ind w:left="0" w:hanging="0"/>
        <w:rPr>
          <w:color w:val="000000"/>
        </w:rPr>
      </w:pPr>
      <w:r>
        <w:rPr>
          <w:color w:val="000000"/>
        </w:rPr>
        <w:t>REMANEJAMENTO DAS QUANTIDADES REGISTRADAS NA ATA DE REGISTRO DE PREÇOS</w:t>
      </w:r>
    </w:p>
    <w:p>
      <w:pPr>
        <w:pStyle w:val="Nivel2"/>
        <w:numPr>
          <w:ilvl w:val="1"/>
          <w:numId w:val="1"/>
        </w:numPr>
        <w:ind w:left="0" w:hanging="0"/>
        <w:rPr>
          <w:color w:val="000000"/>
        </w:rPr>
      </w:pPr>
      <w:r>
        <w:rPr>
          <w:color w:val="000000"/>
        </w:rPr>
        <w:t xml:space="preserve"> </w:t>
      </w:r>
      <w:r>
        <w:rPr>
          <w:color w:val="000000"/>
        </w:rPr>
        <w:t>As quan</w:t>
      </w:r>
      <w:r>
        <w:rPr>
          <w:rFonts w:eastAsia="Arial"/>
          <w:color w:val="000000"/>
        </w:rPr>
        <w:t>ti</w:t>
      </w:r>
      <w:r>
        <w:rPr>
          <w:color w:val="000000"/>
        </w:rPr>
        <w:t>dades previstas para os itens com preços registrados nas atas de registro de preços poderão ser remanejadas pelo órgão ou en</w:t>
      </w:r>
      <w:r>
        <w:rPr>
          <w:rFonts w:eastAsia="Arial"/>
          <w:color w:val="000000"/>
        </w:rPr>
        <w:t>ti</w:t>
      </w:r>
      <w:r>
        <w:rPr>
          <w:color w:val="000000"/>
        </w:rPr>
        <w:t>dade gerenciadora entre os órgãos ou as en</w:t>
      </w:r>
      <w:r>
        <w:rPr>
          <w:rFonts w:eastAsia="Arial"/>
          <w:color w:val="000000"/>
        </w:rPr>
        <w:t>ti</w:t>
      </w:r>
      <w:r>
        <w:rPr>
          <w:color w:val="000000"/>
        </w:rPr>
        <w:t>dades par</w:t>
      </w:r>
      <w:r>
        <w:rPr>
          <w:rFonts w:eastAsia="Arial"/>
          <w:color w:val="000000"/>
        </w:rPr>
        <w:t>ti</w:t>
      </w:r>
      <w:r>
        <w:rPr>
          <w:color w:val="000000"/>
        </w:rPr>
        <w:t>cipantes e não par</w:t>
      </w:r>
      <w:r>
        <w:rPr>
          <w:rFonts w:eastAsia="Arial"/>
          <w:color w:val="000000"/>
        </w:rPr>
        <w:t>ti</w:t>
      </w:r>
      <w:r>
        <w:rPr>
          <w:color w:val="000000"/>
        </w:rPr>
        <w:t>cipantes do registro de preços.</w:t>
      </w:r>
    </w:p>
    <w:p>
      <w:pPr>
        <w:pStyle w:val="Nivel2"/>
        <w:numPr>
          <w:ilvl w:val="1"/>
          <w:numId w:val="1"/>
        </w:numPr>
        <w:ind w:left="0" w:hanging="0"/>
        <w:rPr>
          <w:color w:val="000000"/>
        </w:rPr>
      </w:pPr>
      <w:r>
        <w:rPr>
          <w:color w:val="000000"/>
        </w:rPr>
        <w:t xml:space="preserve"> </w:t>
      </w:r>
      <w:r>
        <w:rPr>
          <w:color w:val="000000"/>
        </w:rPr>
        <w:t>O remanejamento somente poderá ser feito:</w:t>
      </w:r>
    </w:p>
    <w:p>
      <w:pPr>
        <w:pStyle w:val="Nvel3"/>
        <w:numPr>
          <w:ilvl w:val="2"/>
          <w:numId w:val="1"/>
        </w:numPr>
        <w:ind w:left="284" w:hanging="0"/>
        <w:rPr>
          <w:color w:val="000000"/>
        </w:rPr>
      </w:pPr>
      <w:r>
        <w:rPr>
          <w:color w:val="000000"/>
        </w:rPr>
        <w:t>De órgão ou en</w:t>
      </w:r>
      <w:r>
        <w:rPr>
          <w:rFonts w:eastAsia="Arial"/>
          <w:color w:val="000000"/>
        </w:rPr>
        <w:t>ti</w:t>
      </w:r>
      <w:r>
        <w:rPr>
          <w:color w:val="000000"/>
        </w:rPr>
        <w:t>dade par</w:t>
      </w:r>
      <w:r>
        <w:rPr>
          <w:rFonts w:eastAsia="Arial"/>
          <w:color w:val="000000"/>
        </w:rPr>
        <w:t>ti</w:t>
      </w:r>
      <w:r>
        <w:rPr>
          <w:color w:val="000000"/>
        </w:rPr>
        <w:t>cipante para órgão ou en</w:t>
      </w:r>
      <w:r>
        <w:rPr>
          <w:rFonts w:eastAsia="Arial"/>
          <w:color w:val="000000"/>
        </w:rPr>
        <w:t>ti</w:t>
      </w:r>
      <w:r>
        <w:rPr>
          <w:color w:val="000000"/>
        </w:rPr>
        <w:t>dade par</w:t>
      </w:r>
      <w:r>
        <w:rPr>
          <w:rFonts w:eastAsia="Arial"/>
          <w:color w:val="000000"/>
        </w:rPr>
        <w:t>ti</w:t>
      </w:r>
      <w:r>
        <w:rPr>
          <w:color w:val="000000"/>
        </w:rPr>
        <w:t>cipante; ou</w:t>
      </w:r>
    </w:p>
    <w:p>
      <w:pPr>
        <w:pStyle w:val="Nvel3"/>
        <w:numPr>
          <w:ilvl w:val="2"/>
          <w:numId w:val="1"/>
        </w:numPr>
        <w:ind w:left="284" w:hanging="0"/>
        <w:rPr>
          <w:color w:val="000000"/>
        </w:rPr>
      </w:pPr>
      <w:r>
        <w:rPr>
          <w:color w:val="000000"/>
        </w:rPr>
        <w:t>De órgão ou en</w:t>
      </w:r>
      <w:r>
        <w:rPr>
          <w:rFonts w:eastAsia="Arial"/>
          <w:color w:val="000000"/>
        </w:rPr>
        <w:t>ti</w:t>
      </w:r>
      <w:r>
        <w:rPr>
          <w:color w:val="000000"/>
        </w:rPr>
        <w:t>dade par</w:t>
      </w:r>
      <w:r>
        <w:rPr>
          <w:rFonts w:eastAsia="Arial"/>
          <w:color w:val="000000"/>
        </w:rPr>
        <w:t>ti</w:t>
      </w:r>
      <w:r>
        <w:rPr>
          <w:color w:val="000000"/>
        </w:rPr>
        <w:t>cipante para órgão ou entidade não participante.</w:t>
      </w:r>
    </w:p>
    <w:p>
      <w:pPr>
        <w:pStyle w:val="Nivel2"/>
        <w:numPr>
          <w:ilvl w:val="1"/>
          <w:numId w:val="1"/>
        </w:numPr>
        <w:ind w:left="0" w:hanging="0"/>
        <w:rPr>
          <w:color w:val="000000"/>
        </w:rPr>
      </w:pPr>
      <w:r>
        <w:rPr>
          <w:color w:val="000000"/>
        </w:rPr>
        <w:t>O órgão ou en</w:t>
      </w:r>
      <w:r>
        <w:rPr>
          <w:rFonts w:eastAsia="Arial"/>
          <w:color w:val="000000"/>
        </w:rPr>
        <w:t>ti</w:t>
      </w:r>
      <w:r>
        <w:rPr>
          <w:color w:val="000000"/>
        </w:rPr>
        <w:t>dade gerenciadora que tiver es</w:t>
      </w:r>
      <w:r>
        <w:rPr>
          <w:rFonts w:eastAsia="Arial"/>
          <w:color w:val="000000"/>
        </w:rPr>
        <w:t>ti</w:t>
      </w:r>
      <w:r>
        <w:rPr>
          <w:color w:val="000000"/>
        </w:rPr>
        <w:t>mado as quan</w:t>
      </w:r>
      <w:r>
        <w:rPr>
          <w:rFonts w:eastAsia="Arial"/>
          <w:color w:val="000000"/>
        </w:rPr>
        <w:t>ti</w:t>
      </w:r>
      <w:r>
        <w:rPr>
          <w:color w:val="000000"/>
        </w:rPr>
        <w:t>dades que pretende contratar será considerado participante para efeito do remanejamento.</w:t>
      </w:r>
      <w:bookmarkStart w:id="5" w:name="gerenciador_estimador_é_partic_em_remane"/>
      <w:bookmarkEnd w:id="5"/>
    </w:p>
    <w:p>
      <w:pPr>
        <w:pStyle w:val="Nivel2"/>
        <w:numPr>
          <w:ilvl w:val="1"/>
          <w:numId w:val="1"/>
        </w:numPr>
        <w:ind w:left="0" w:hanging="0"/>
        <w:rPr>
          <w:color w:val="000000"/>
        </w:rPr>
      </w:pPr>
      <w:r>
        <w:rPr>
          <w:color w:val="000000"/>
        </w:rPr>
        <w:t>Na hipótese de remanejamento de órgão ou entidade par</w:t>
      </w:r>
      <w:r>
        <w:rPr>
          <w:rFonts w:eastAsia="Arial"/>
          <w:color w:val="000000"/>
        </w:rPr>
        <w:t>ti</w:t>
      </w:r>
      <w:r>
        <w:rPr>
          <w:color w:val="000000"/>
        </w:rPr>
        <w:t>cipante para órgão ou entidade não participante, serão observados os limites previstos no art. 32 do Decreto nº 11.462, de 2023.</w:t>
      </w:r>
    </w:p>
    <w:p>
      <w:pPr>
        <w:pStyle w:val="Nivel2"/>
        <w:numPr>
          <w:ilvl w:val="1"/>
          <w:numId w:val="1"/>
        </w:numPr>
        <w:ind w:left="0" w:hanging="0"/>
        <w:rPr>
          <w:color w:val="000000"/>
        </w:rPr>
      </w:pPr>
      <w:r>
        <w:rPr>
          <w:color w:val="000000"/>
        </w:rPr>
        <w:t>Competirá ao órgão ou à en</w:t>
      </w:r>
      <w:r>
        <w:rPr>
          <w:rFonts w:eastAsia="Arial"/>
          <w:color w:val="000000"/>
        </w:rPr>
        <w:t>ti</w:t>
      </w:r>
      <w:r>
        <w:rPr>
          <w:color w:val="000000"/>
        </w:rPr>
        <w:t>dade gerenciadora autorizar o remanejamento solicitado, com a redução do quan</w:t>
      </w:r>
      <w:r>
        <w:rPr>
          <w:rFonts w:eastAsia="Arial"/>
          <w:color w:val="000000"/>
        </w:rPr>
        <w:t>ti</w:t>
      </w:r>
      <w:r>
        <w:rPr>
          <w:color w:val="000000"/>
        </w:rPr>
        <w:t>ta</w:t>
      </w:r>
      <w:r>
        <w:rPr>
          <w:rFonts w:eastAsia="Arial"/>
          <w:color w:val="000000"/>
        </w:rPr>
        <w:t>ti</w:t>
      </w:r>
      <w:r>
        <w:rPr>
          <w:color w:val="000000"/>
        </w:rPr>
        <w:t>vo inicialmente informado pelo órgão ou pela en</w:t>
      </w:r>
      <w:r>
        <w:rPr>
          <w:rFonts w:eastAsia="Arial"/>
          <w:color w:val="000000"/>
        </w:rPr>
        <w:t>ti</w:t>
      </w:r>
      <w:r>
        <w:rPr>
          <w:color w:val="000000"/>
        </w:rPr>
        <w:t>dade par</w:t>
      </w:r>
      <w:r>
        <w:rPr>
          <w:rFonts w:eastAsia="Arial"/>
          <w:color w:val="000000"/>
        </w:rPr>
        <w:t>ti</w:t>
      </w:r>
      <w:r>
        <w:rPr>
          <w:color w:val="000000"/>
        </w:rPr>
        <w:t>cipante, desde que haja prévia anuência do órgão ou da en</w:t>
      </w:r>
      <w:r>
        <w:rPr>
          <w:rFonts w:eastAsia="Arial"/>
          <w:color w:val="000000"/>
        </w:rPr>
        <w:t>ti</w:t>
      </w:r>
      <w:r>
        <w:rPr>
          <w:color w:val="000000"/>
        </w:rPr>
        <w:t>dade que sofrer redução dos quantitativos informados.</w:t>
      </w:r>
    </w:p>
    <w:p>
      <w:pPr>
        <w:pStyle w:val="Nivel2"/>
        <w:numPr>
          <w:ilvl w:val="1"/>
          <w:numId w:val="1"/>
        </w:numPr>
        <w:ind w:left="0" w:hanging="0"/>
        <w:rPr>
          <w:color w:val="000000"/>
        </w:rPr>
      </w:pPr>
      <w:r>
        <w:rPr>
          <w:color w:val="000000"/>
        </w:rPr>
        <w:t>Caso o remanejamento seja feito entre órgãos ou en</w:t>
      </w:r>
      <w:r>
        <w:rPr>
          <w:rFonts w:eastAsia="Arial"/>
          <w:color w:val="000000"/>
        </w:rPr>
        <w:t>ti</w:t>
      </w:r>
      <w:r>
        <w:rPr>
          <w:color w:val="000000"/>
        </w:rPr>
        <w:t>dades dos Estados, do Distrito Federal ou de Municípios dis</w:t>
      </w:r>
      <w:r>
        <w:rPr>
          <w:rFonts w:eastAsia="Arial"/>
          <w:color w:val="000000"/>
        </w:rPr>
        <w:t>ti</w:t>
      </w:r>
      <w:r>
        <w:rPr>
          <w:color w:val="000000"/>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left="0" w:hanging="0"/>
        <w:rPr>
          <w:color w:val="000000"/>
        </w:rPr>
      </w:pPr>
      <w:r>
        <w:rPr>
          <w:color w:val="000000"/>
        </w:rPr>
        <w:t>Na hipótese da compra centralizada, não havendo indicação pelo órgão ou pela en</w:t>
      </w:r>
      <w:r>
        <w:rPr>
          <w:rFonts w:eastAsia="Arial"/>
          <w:color w:val="000000"/>
        </w:rPr>
        <w:t>ti</w:t>
      </w:r>
      <w:r>
        <w:rPr>
          <w:color w:val="000000"/>
        </w:rPr>
        <w:t>dade gerenciadora, dos quan</w:t>
      </w:r>
      <w:r>
        <w:rPr>
          <w:rFonts w:eastAsia="Arial"/>
          <w:color w:val="000000"/>
        </w:rPr>
        <w:t>ti</w:t>
      </w:r>
      <w:r>
        <w:rPr>
          <w:color w:val="000000"/>
        </w:rPr>
        <w:t>ta</w:t>
      </w:r>
      <w:r>
        <w:rPr>
          <w:rFonts w:eastAsia="Arial"/>
          <w:color w:val="000000"/>
        </w:rPr>
        <w:t>ti</w:t>
      </w:r>
      <w:r>
        <w:rPr>
          <w:color w:val="000000"/>
        </w:rPr>
        <w:t>vos dos par</w:t>
      </w:r>
      <w:r>
        <w:rPr>
          <w:rFonts w:eastAsia="Arial"/>
          <w:color w:val="000000"/>
        </w:rPr>
        <w:t>ti</w:t>
      </w:r>
      <w:r>
        <w:rPr>
          <w:color w:val="000000"/>
        </w:rPr>
        <w:t xml:space="preserve">cipantes da compra centralizada, nos termos do item </w:t>
      </w:r>
      <w:r>
        <w:rPr>
          <w:color w:val="000000"/>
        </w:rPr>
        <w:fldChar w:fldCharType="begin"/>
      </w:r>
      <w:r>
        <w:rPr>
          <w:color w:val="000000"/>
        </w:rPr>
        <w:instrText xml:space="preserve"> REF gerenciador_estimador_é_partic_em_remane \r \h </w:instrText>
      </w:r>
      <w:r>
        <w:rPr>
          <w:color w:val="000000"/>
        </w:rPr>
        <w:fldChar w:fldCharType="separate"/>
      </w:r>
      <w:r>
        <w:rPr>
          <w:color w:val="000000"/>
        </w:rPr>
        <w:t>8.3</w:t>
      </w:r>
      <w:r>
        <w:rPr>
          <w:color w:val="000000"/>
        </w:rPr>
        <w:fldChar w:fldCharType="end"/>
      </w:r>
      <w:r>
        <w:rPr>
          <w:color w:val="000000"/>
        </w:rPr>
        <w:t>, a distribuição das quantidades para a execução descentralizada será por meio do remanejamento.</w:t>
      </w:r>
    </w:p>
    <w:p>
      <w:pPr>
        <w:pStyle w:val="Nivel01"/>
        <w:numPr>
          <w:ilvl w:val="0"/>
          <w:numId w:val="1"/>
        </w:numPr>
        <w:ind w:left="0" w:hanging="0"/>
        <w:rPr>
          <w:color w:val="000000"/>
        </w:rPr>
      </w:pPr>
      <w:r>
        <w:rPr>
          <w:color w:val="000000"/>
        </w:rPr>
        <w:t>CANCELAMENTO DO REGISTRO DO LICITANTE VENCEDOR E DOS PREÇOS REGISTRADOS</w:t>
      </w:r>
      <w:bookmarkStart w:id="6" w:name="cancelamento"/>
      <w:bookmarkEnd w:id="6"/>
    </w:p>
    <w:p>
      <w:pPr>
        <w:pStyle w:val="Nivel2"/>
        <w:numPr>
          <w:ilvl w:val="1"/>
          <w:numId w:val="1"/>
        </w:numPr>
        <w:ind w:left="0" w:hanging="0"/>
        <w:rPr>
          <w:color w:val="000000"/>
        </w:rPr>
      </w:pPr>
      <w:r>
        <w:rPr>
          <w:color w:val="000000"/>
        </w:rPr>
        <w:t>O registro do fornecedor será cancelado pelo gerenciador, quando o fornecedor:</w:t>
      </w:r>
      <w:bookmarkStart w:id="7" w:name="cancelamento_do_fornecedor"/>
      <w:bookmarkEnd w:id="7"/>
    </w:p>
    <w:p>
      <w:pPr>
        <w:pStyle w:val="Nvel3"/>
        <w:numPr>
          <w:ilvl w:val="2"/>
          <w:numId w:val="1"/>
        </w:numPr>
        <w:ind w:left="284" w:hanging="0"/>
        <w:rPr>
          <w:color w:val="000000"/>
        </w:rPr>
      </w:pPr>
      <w:r>
        <w:rPr>
          <w:color w:val="000000"/>
        </w:rPr>
        <w:t>Descumprir as condições da ata de registro de preços, sem motivo justificado;</w:t>
      </w:r>
    </w:p>
    <w:p>
      <w:pPr>
        <w:pStyle w:val="Nvel3"/>
        <w:numPr>
          <w:ilvl w:val="2"/>
          <w:numId w:val="1"/>
        </w:numPr>
        <w:ind w:left="284" w:hanging="0"/>
        <w:rPr>
          <w:color w:val="000000"/>
        </w:rPr>
      </w:pPr>
      <w:r>
        <w:rPr>
          <w:color w:val="000000"/>
        </w:rPr>
        <w:t>Não re</w:t>
      </w:r>
      <w:r>
        <w:rPr>
          <w:rFonts w:eastAsia="Arial"/>
          <w:color w:val="000000"/>
        </w:rPr>
        <w:t>ti</w:t>
      </w:r>
      <w:r>
        <w:rPr>
          <w:color w:val="000000"/>
        </w:rPr>
        <w:t>rar a nota de empenho, ou instrumento equivalente, no prazo estabelecido pela Administração sem justificativa razoável;</w:t>
      </w:r>
    </w:p>
    <w:p>
      <w:pPr>
        <w:pStyle w:val="Nvel3"/>
        <w:numPr>
          <w:ilvl w:val="2"/>
          <w:numId w:val="1"/>
        </w:numPr>
        <w:ind w:left="284" w:hanging="0"/>
        <w:rPr>
          <w:color w:val="000000"/>
        </w:rPr>
      </w:pPr>
      <w:r>
        <w:rPr>
          <w:color w:val="000000"/>
        </w:rPr>
        <w:t>Não aceitar manter seu preço registrado, na hipótese prevista no artigo 27, § 2º, do Decreto nº 11.462, de 2023; ou</w:t>
      </w:r>
    </w:p>
    <w:p>
      <w:pPr>
        <w:pStyle w:val="Nvel3"/>
        <w:numPr>
          <w:ilvl w:val="2"/>
          <w:numId w:val="1"/>
        </w:numPr>
        <w:ind w:left="284" w:hanging="0"/>
        <w:rPr>
          <w:color w:val="000000"/>
        </w:rPr>
      </w:pPr>
      <w:r>
        <w:rPr>
          <w:color w:val="000000"/>
        </w:rPr>
        <w:t xml:space="preserve"> </w:t>
      </w:r>
      <w:r>
        <w:rPr>
          <w:color w:val="000000"/>
        </w:rPr>
        <w:t>Sofrer sanção prevista nos incisos III ou IV do caput do art. 156 da Lei nº 14.133, de 2021.</w:t>
      </w:r>
    </w:p>
    <w:p>
      <w:pPr>
        <w:pStyle w:val="Nvel4"/>
        <w:numPr>
          <w:ilvl w:val="3"/>
          <w:numId w:val="1"/>
        </w:numPr>
        <w:ind w:left="567" w:hanging="0"/>
        <w:rPr>
          <w:color w:val="000000"/>
        </w:rPr>
      </w:pPr>
      <w:r>
        <w:rPr>
          <w:color w:val="000000"/>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pPr>
        <w:pStyle w:val="Nivel2"/>
        <w:numPr>
          <w:ilvl w:val="1"/>
          <w:numId w:val="1"/>
        </w:numPr>
        <w:ind w:left="0" w:hanging="0"/>
        <w:rPr>
          <w:color w:val="000000"/>
        </w:rPr>
      </w:pPr>
      <w:r>
        <w:rPr>
          <w:color w:val="000000"/>
        </w:rPr>
        <w:t xml:space="preserve"> </w:t>
      </w:r>
      <w:r>
        <w:rPr>
          <w:color w:val="000000"/>
        </w:rPr>
        <w:t xml:space="preserve">O cancelamento de registros nas hipóteses previstas no item </w:t>
      </w:r>
      <w:r>
        <w:rPr>
          <w:color w:val="000000"/>
        </w:rPr>
        <w:fldChar w:fldCharType="begin"/>
      </w:r>
      <w:r>
        <w:rPr>
          <w:color w:val="000000"/>
        </w:rPr>
        <w:instrText xml:space="preserve"> REF cancelamento_do_fornecedor \r \h </w:instrText>
      </w:r>
      <w:r>
        <w:rPr>
          <w:color w:val="000000"/>
        </w:rPr>
        <w:fldChar w:fldCharType="separate"/>
      </w:r>
      <w:r>
        <w:rPr>
          <w:color w:val="000000"/>
        </w:rPr>
        <w:t>9.1</w:t>
      </w:r>
      <w:r>
        <w:rPr>
          <w:color w:val="000000"/>
        </w:rPr>
        <w:fldChar w:fldCharType="end"/>
      </w:r>
      <w:r>
        <w:rPr>
          <w:color w:val="000000"/>
        </w:rPr>
        <w:t xml:space="preserve"> será formalizado por despacho do órgão ou da entidade gerenciadora, garantidos os princípios do contraditório e da ampla defesa.</w:t>
      </w:r>
    </w:p>
    <w:p>
      <w:pPr>
        <w:pStyle w:val="Nivel2"/>
        <w:numPr>
          <w:ilvl w:val="1"/>
          <w:numId w:val="1"/>
        </w:numPr>
        <w:ind w:left="0" w:hanging="0"/>
        <w:rPr>
          <w:color w:val="000000"/>
        </w:rPr>
      </w:pPr>
      <w:r>
        <w:rPr>
          <w:color w:val="000000"/>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left="0" w:hanging="0"/>
        <w:rPr>
          <w:color w:val="000000"/>
        </w:rPr>
      </w:pPr>
      <w:r>
        <w:rPr>
          <w:color w:val="000000"/>
        </w:rPr>
        <w:t>O cancelamento dos preços registrados poderá ser realizado pelo gerenciador, em determinada ata de registro de preços, total ou parcialmente, nas seguintes hipóteses, desde que devidamente comprovadas e justificadas:</w:t>
      </w:r>
      <w:bookmarkStart w:id="8" w:name="cancelamento_da_ata"/>
      <w:bookmarkEnd w:id="8"/>
      <w:r>
        <w:rPr>
          <w:color w:val="000000"/>
        </w:rPr>
        <w:t xml:space="preserve"> </w:t>
      </w:r>
    </w:p>
    <w:p>
      <w:pPr>
        <w:pStyle w:val="Nvel3"/>
        <w:numPr>
          <w:ilvl w:val="2"/>
          <w:numId w:val="1"/>
        </w:numPr>
        <w:ind w:left="284" w:hanging="0"/>
        <w:rPr>
          <w:color w:val="000000"/>
        </w:rPr>
      </w:pPr>
      <w:r>
        <w:rPr>
          <w:color w:val="000000"/>
        </w:rPr>
        <w:t>Por razão de interesse público;</w:t>
      </w:r>
    </w:p>
    <w:p>
      <w:pPr>
        <w:pStyle w:val="Nvel3"/>
        <w:numPr>
          <w:ilvl w:val="2"/>
          <w:numId w:val="1"/>
        </w:numPr>
        <w:ind w:left="284" w:hanging="0"/>
        <w:rPr>
          <w:color w:val="000000"/>
        </w:rPr>
      </w:pPr>
      <w:r>
        <w:rPr>
          <w:color w:val="000000"/>
        </w:rPr>
        <w:t>A pedido do fornecedor, decorrente de caso fortuito ou força maior; ou</w:t>
      </w:r>
    </w:p>
    <w:p>
      <w:pPr>
        <w:pStyle w:val="Nvel3"/>
        <w:numPr>
          <w:ilvl w:val="2"/>
          <w:numId w:val="1"/>
        </w:numPr>
        <w:ind w:left="284" w:hanging="0"/>
        <w:rPr>
          <w:color w:val="000000"/>
        </w:rPr>
      </w:pPr>
      <w:r>
        <w:rPr>
          <w:color w:val="000000"/>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left="0" w:hanging="0"/>
        <w:rPr>
          <w:color w:val="000000"/>
        </w:rPr>
      </w:pPr>
      <w:r>
        <w:rPr>
          <w:color w:val="000000"/>
        </w:rPr>
        <w:t>DAS PENALIDADES</w:t>
      </w:r>
    </w:p>
    <w:p>
      <w:pPr>
        <w:pStyle w:val="Nivel2"/>
        <w:numPr>
          <w:ilvl w:val="1"/>
          <w:numId w:val="1"/>
        </w:numPr>
        <w:ind w:left="0" w:hanging="0"/>
        <w:rPr>
          <w:color w:val="000000"/>
        </w:rPr>
      </w:pPr>
      <w:r>
        <w:rPr>
          <w:color w:val="000000"/>
        </w:rPr>
        <w:t>O descumprim</w:t>
      </w:r>
      <w:r>
        <w:rPr>
          <w:i w:val="false"/>
          <w:iCs w:val="false"/>
          <w:color w:val="000000"/>
        </w:rPr>
        <w:t>ento da Ata de Registro de Preços ensejará aplicação das penalidades estabelecidas no edital.</w:t>
      </w:r>
    </w:p>
    <w:p>
      <w:pPr>
        <w:pStyle w:val="Nvel3"/>
        <w:numPr>
          <w:ilvl w:val="2"/>
          <w:numId w:val="1"/>
        </w:numPr>
        <w:ind w:left="284" w:hanging="0"/>
        <w:rPr>
          <w:color w:val="000000"/>
        </w:rPr>
      </w:pPr>
      <w:r>
        <w:rPr>
          <w:color w:val="000000"/>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1"/>
        </w:numPr>
        <w:ind w:left="0" w:hanging="0"/>
        <w:rPr>
          <w:color w:val="000000"/>
        </w:rPr>
      </w:pPr>
      <w:r>
        <w:rPr>
          <w:color w:val="000000"/>
        </w:rPr>
        <w:t>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p>
    <w:p>
      <w:pPr>
        <w:pStyle w:val="Nivel2"/>
        <w:numPr>
          <w:ilvl w:val="1"/>
          <w:numId w:val="1"/>
        </w:numPr>
        <w:ind w:left="0" w:hanging="0"/>
        <w:rPr>
          <w:color w:val="000000"/>
        </w:rPr>
      </w:pPr>
      <w:r>
        <w:rPr>
          <w:color w:val="000000"/>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left="0" w:hanging="0"/>
        <w:rPr>
          <w:color w:val="000000"/>
        </w:rPr>
      </w:pPr>
      <w:r>
        <w:rPr>
          <w:color w:val="000000"/>
        </w:rPr>
        <w:t>CONDIÇÕES GERAIS</w:t>
      </w:r>
    </w:p>
    <w:p>
      <w:pPr>
        <w:pStyle w:val="Nivel2"/>
        <w:numPr>
          <w:ilvl w:val="1"/>
          <w:numId w:val="1"/>
        </w:numPr>
        <w:ind w:left="0" w:hanging="0"/>
        <w:rPr>
          <w:color w:val="000000"/>
        </w:rPr>
      </w:pPr>
      <w:r>
        <w:rPr>
          <w:color w:val="000000"/>
        </w:rPr>
        <w:t>As condições gerais de execução do objeto, tais como os prazos para entrega e recebimento, as obrigações da Administração e do fornecedor registrado, penalidades e demais condições do ajuste, encontram-se definidos no Termo de Referência, anexo ao</w:t>
      </w:r>
      <w:r>
        <w:rPr>
          <w:i/>
          <w:color w:val="000000"/>
        </w:rPr>
        <w:t xml:space="preserve"> </w:t>
      </w:r>
      <w:r>
        <w:rPr>
          <w:i w:val="false"/>
          <w:iCs w:val="false"/>
          <w:strike w:val="false"/>
          <w:dstrike w:val="false"/>
          <w:color w:val="000000"/>
        </w:rPr>
        <w:t>edital.</w:t>
      </w:r>
    </w:p>
    <w:p>
      <w:pPr>
        <w:pStyle w:val="Nvel2Red"/>
        <w:numPr>
          <w:ilvl w:val="1"/>
          <w:numId w:val="1"/>
        </w:numPr>
        <w:ind w:left="0" w:hanging="0"/>
        <w:rPr>
          <w:color w:val="000000"/>
        </w:rPr>
      </w:pPr>
      <w:r>
        <w:rPr>
          <w:i w:val="false"/>
          <w:iCs w:val="false"/>
          <w:color w:val="000000"/>
        </w:rPr>
        <w:t>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spacing w:lineRule="auto" w:line="276" w:before="120" w:after="120"/>
        <w:jc w:val="both"/>
        <w:rPr>
          <w:color w:val="000000"/>
        </w:rPr>
      </w:pPr>
      <w:r>
        <w:rPr>
          <w:rFonts w:cs="Arial" w:ascii="Arial" w:hAnsi="Arial"/>
          <w:i w:val="false"/>
          <w:iCs w:val="false"/>
          <w:color w:val="000000"/>
          <w:sz w:val="20"/>
          <w:szCs w:val="20"/>
        </w:rPr>
        <w:t xml:space="preserve">Para firmeza e validade do pactuado, a presente Ata foi lavrada em .... (....) vias de igual teor, que, depois de lida e achada em ordem, vai assinada pelas partes e encaminhada cópia aos demais órgãos participantes (se houver). </w:t>
      </w:r>
    </w:p>
    <w:p>
      <w:pPr>
        <w:pStyle w:val="Normal"/>
        <w:widowControl w:val="false"/>
        <w:spacing w:lineRule="auto" w:line="360"/>
        <w:ind w:right="-30" w:hanging="0"/>
        <w:jc w:val="center"/>
        <w:rPr>
          <w:color w:val="000000"/>
        </w:rPr>
      </w:pPr>
      <w:r>
        <w:rPr>
          <w:rFonts w:cs="Arial" w:ascii="Arial" w:hAnsi="Arial"/>
          <w:color w:val="000000"/>
          <w:sz w:val="20"/>
          <w:szCs w:val="20"/>
        </w:rPr>
        <w:t>Local e data</w:t>
      </w:r>
    </w:p>
    <w:p>
      <w:pPr>
        <w:pStyle w:val="Normal"/>
        <w:widowControl w:val="false"/>
        <w:spacing w:lineRule="auto" w:line="360"/>
        <w:ind w:right="-30" w:hanging="0"/>
        <w:jc w:val="center"/>
        <w:rPr>
          <w:color w:val="000000"/>
        </w:rPr>
      </w:pPr>
      <w:r>
        <w:rPr>
          <w:rFonts w:cs="Arial" w:ascii="Arial" w:hAnsi="Arial"/>
          <w:color w:val="000000"/>
          <w:sz w:val="20"/>
          <w:szCs w:val="20"/>
        </w:rPr>
        <w:t>Assinaturas</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color w:val="000000"/>
        </w:rPr>
      </w:pPr>
      <w:r>
        <w:rPr>
          <w:rFonts w:cs="Arial" w:ascii="Arial" w:hAnsi="Arial"/>
          <w:color w:val="000000"/>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rPr>
          <w:rFonts w:ascii="Arial" w:hAnsi="Arial" w:cs="Arial"/>
          <w:color w:val="000000"/>
          <w:sz w:val="20"/>
          <w:szCs w:val="20"/>
        </w:rPr>
      </w:pPr>
      <w:r>
        <w:rPr>
          <w:rFonts w:cs="Arial" w:ascii="Arial" w:hAnsi="Arial"/>
          <w:color w:val="000000"/>
          <w:sz w:val="20"/>
          <w:szCs w:val="20"/>
        </w:rPr>
      </w:r>
      <w:r>
        <w:br w:type="page"/>
      </w:r>
    </w:p>
    <w:p>
      <w:pPr>
        <w:pStyle w:val="Normal"/>
        <w:widowControl w:val="false"/>
        <w:spacing w:lineRule="auto" w:line="360"/>
        <w:ind w:right="-30" w:hanging="0"/>
        <w:jc w:val="center"/>
        <w:rPr>
          <w:color w:val="000000"/>
        </w:rPr>
      </w:pPr>
      <w:r>
        <w:rPr>
          <w:rFonts w:cs="Arial" w:ascii="Arial" w:hAnsi="Arial"/>
          <w:color w:val="000000"/>
          <w:sz w:val="20"/>
          <w:szCs w:val="20"/>
        </w:rPr>
        <w:t>Anexo</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color w:val="000000"/>
        </w:rPr>
      </w:pPr>
      <w:r>
        <w:rPr>
          <w:rFonts w:cs="Arial" w:ascii="Arial" w:hAnsi="Arial"/>
          <w:color w:val="000000"/>
          <w:sz w:val="20"/>
          <w:szCs w:val="20"/>
        </w:rPr>
        <w:t>Cadastro Reserva</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color w:val="000000"/>
        </w:rPr>
      </w:pPr>
      <w:r>
        <w:rPr>
          <w:rFonts w:cs="Arial" w:ascii="Arial" w:hAnsi="Arial"/>
          <w:color w:val="000000"/>
          <w:sz w:val="20"/>
          <w:szCs w:val="20"/>
        </w:rPr>
        <w:t>Seguindo a ordem de classificação, segue relação de fornecedores que aceitaram cotar os itens com preços iguais ao adjudicatário:</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hanging="0"/>
              <w:jc w:val="center"/>
              <w:rPr>
                <w:color w:val="000000"/>
              </w:rPr>
            </w:pPr>
            <w:r>
              <w:rPr>
                <w:rFonts w:cs="Arial" w:ascii="Arial" w:hAnsi="Arial"/>
                <w:color w:val="000000"/>
                <w:sz w:val="16"/>
                <w:szCs w:val="16"/>
              </w:rPr>
              <w:t>Item</w:t>
            </w:r>
          </w:p>
          <w:p>
            <w:pPr>
              <w:pStyle w:val="Normal"/>
              <w:widowControl w:val="false"/>
              <w:ind w:right="-28" w:hanging="0"/>
              <w:jc w:val="center"/>
              <w:rPr>
                <w:color w:val="000000"/>
              </w:rPr>
            </w:pPr>
            <w:r>
              <w:rPr>
                <w:rFonts w:cs="Arial" w:ascii="Arial" w:hAnsi="Arial"/>
                <w:color w:val="000000"/>
                <w:sz w:val="16"/>
                <w:szCs w:val="16"/>
              </w:rPr>
              <w:t>do</w:t>
            </w:r>
          </w:p>
          <w:p>
            <w:pPr>
              <w:pStyle w:val="Normal"/>
              <w:widowControl w:val="false"/>
              <w:ind w:right="-28" w:hanging="0"/>
              <w:jc w:val="center"/>
              <w:rPr>
                <w:color w:val="000000"/>
              </w:rPr>
            </w:pPr>
            <w:r>
              <w:rPr>
                <w:rFonts w:cs="Arial" w:ascii="Arial" w:hAnsi="Arial"/>
                <w:color w:val="000000"/>
                <w:sz w:val="16"/>
                <w:szCs w:val="16"/>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hanging="0"/>
              <w:jc w:val="center"/>
              <w:rPr>
                <w:color w:val="000000"/>
              </w:rPr>
            </w:pPr>
            <w:r>
              <w:rPr>
                <w:rFonts w:cs="Arial" w:ascii="Arial" w:hAnsi="Arial"/>
                <w:color w:val="000000"/>
                <w:sz w:val="16"/>
                <w:szCs w:val="16"/>
              </w:rPr>
              <w:t xml:space="preserve">Fornecedor </w:t>
            </w:r>
            <w:r>
              <w:rPr>
                <w:rFonts w:cs="Arial" w:ascii="Arial" w:hAnsi="Arial"/>
                <w:i/>
                <w:color w:val="000000"/>
                <w:sz w:val="16"/>
                <w:szCs w:val="16"/>
              </w:rPr>
              <w:t>[razão social, CNPJ/MF, endereço, contatos, representante]</w:t>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ind w:right="-28" w:hanging="0"/>
              <w:jc w:val="center"/>
              <w:rPr>
                <w:color w:val="000000"/>
              </w:rPr>
            </w:pPr>
            <w:r>
              <w:rPr>
                <w:rFonts w:cs="Arial" w:ascii="Arial" w:hAnsi="Arial"/>
                <w:color w:val="000000"/>
                <w:sz w:val="16"/>
                <w:szCs w:val="16"/>
              </w:rPr>
              <w:t>X</w:t>
            </w:r>
          </w:p>
        </w:tc>
        <w:tc>
          <w:tcPr>
            <w:tcW w:w="1335" w:type="dxa"/>
            <w:tcBorders>
              <w:left w:val="single" w:sz="2" w:space="0" w:color="000000"/>
              <w:bottom w:val="single" w:sz="2" w:space="0" w:color="000000"/>
            </w:tcBorders>
          </w:tcPr>
          <w:p>
            <w:pPr>
              <w:pStyle w:val="Normal"/>
              <w:widowControl w:val="false"/>
              <w:ind w:right="-28" w:hanging="0"/>
              <w:jc w:val="center"/>
              <w:rPr>
                <w:color w:val="000000"/>
              </w:rPr>
            </w:pPr>
            <w:r>
              <w:rPr>
                <w:rFonts w:cs="Arial" w:ascii="Arial" w:hAnsi="Arial"/>
                <w:color w:val="000000"/>
                <w:sz w:val="16"/>
                <w:szCs w:val="16"/>
              </w:rPr>
              <w:t>Especificação</w:t>
            </w:r>
          </w:p>
        </w:tc>
        <w:tc>
          <w:tcPr>
            <w:tcW w:w="1254" w:type="dxa"/>
            <w:tcBorders>
              <w:left w:val="single" w:sz="2" w:space="0" w:color="000000"/>
              <w:bottom w:val="single" w:sz="2" w:space="0" w:color="000000"/>
            </w:tcBorders>
          </w:tcPr>
          <w:p>
            <w:pPr>
              <w:pStyle w:val="Normal"/>
              <w:widowControl w:val="false"/>
              <w:ind w:right="-28" w:hanging="0"/>
              <w:jc w:val="center"/>
              <w:rPr>
                <w:color w:val="000000"/>
              </w:rPr>
            </w:pPr>
            <w:r>
              <w:rPr>
                <w:rFonts w:cs="Arial" w:ascii="Arial" w:hAnsi="Arial"/>
                <w:color w:val="000000"/>
                <w:sz w:val="16"/>
                <w:szCs w:val="16"/>
              </w:rPr>
              <w:t xml:space="preserve">Marca </w:t>
            </w:r>
          </w:p>
          <w:p>
            <w:pPr>
              <w:pStyle w:val="Normal"/>
              <w:widowControl w:val="false"/>
              <w:ind w:right="-28" w:hanging="0"/>
              <w:jc w:val="center"/>
              <w:rPr>
                <w:color w:val="000000"/>
              </w:rPr>
            </w:pPr>
            <w:r>
              <w:rPr>
                <w:rFonts w:cs="Arial" w:ascii="Arial" w:hAnsi="Arial"/>
                <w:i/>
                <w:iCs/>
                <w:color w:val="00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hanging="0"/>
              <w:jc w:val="center"/>
              <w:rPr>
                <w:color w:val="000000"/>
              </w:rPr>
            </w:pPr>
            <w:r>
              <w:rPr>
                <w:rFonts w:cs="Arial" w:ascii="Arial" w:hAnsi="Arial"/>
                <w:color w:val="000000"/>
                <w:sz w:val="16"/>
                <w:szCs w:val="16"/>
              </w:rPr>
              <w:t>Modelo</w:t>
            </w:r>
          </w:p>
          <w:p>
            <w:pPr>
              <w:pStyle w:val="Normal"/>
              <w:widowControl w:val="false"/>
              <w:ind w:right="-28" w:hanging="0"/>
              <w:jc w:val="center"/>
              <w:rPr>
                <w:color w:val="000000"/>
              </w:rPr>
            </w:pPr>
            <w:r>
              <w:rPr>
                <w:rFonts w:cs="Arial" w:ascii="Arial" w:hAnsi="Arial"/>
                <w:i/>
                <w:iCs/>
                <w:color w:val="000000"/>
                <w:sz w:val="16"/>
                <w:szCs w:val="16"/>
              </w:rPr>
              <w:t>(se exigido no edital)</w:t>
            </w:r>
          </w:p>
        </w:tc>
        <w:tc>
          <w:tcPr>
            <w:tcW w:w="1123" w:type="dxa"/>
            <w:tcBorders>
              <w:left w:val="single" w:sz="2" w:space="0" w:color="000000"/>
              <w:bottom w:val="single" w:sz="2" w:space="0" w:color="000000"/>
            </w:tcBorders>
          </w:tcPr>
          <w:p>
            <w:pPr>
              <w:pStyle w:val="Normal"/>
              <w:widowControl w:val="false"/>
              <w:ind w:right="-28" w:hanging="0"/>
              <w:jc w:val="center"/>
              <w:rPr>
                <w:color w:val="000000"/>
              </w:rPr>
            </w:pPr>
            <w:r>
              <w:rPr>
                <w:rFonts w:cs="Arial" w:ascii="Arial" w:hAnsi="Arial"/>
                <w:color w:val="000000"/>
                <w:sz w:val="16"/>
                <w:szCs w:val="16"/>
              </w:rPr>
              <w:t>Unidade</w:t>
            </w:r>
          </w:p>
        </w:tc>
        <w:tc>
          <w:tcPr>
            <w:tcW w:w="1119" w:type="dxa"/>
            <w:tcBorders>
              <w:left w:val="single" w:sz="2" w:space="0" w:color="000000"/>
              <w:bottom w:val="single" w:sz="2" w:space="0" w:color="000000"/>
            </w:tcBorders>
          </w:tcPr>
          <w:p>
            <w:pPr>
              <w:pStyle w:val="Normal"/>
              <w:widowControl w:val="false"/>
              <w:ind w:right="-28" w:hanging="0"/>
              <w:jc w:val="center"/>
              <w:rPr>
                <w:color w:val="000000"/>
              </w:rPr>
            </w:pPr>
            <w:r>
              <w:rPr>
                <w:rFonts w:cs="Arial" w:ascii="Arial" w:hAnsi="Arial"/>
                <w:color w:val="000000"/>
                <w:sz w:val="16"/>
                <w:szCs w:val="16"/>
              </w:rPr>
              <w:t>Quantidade</w:t>
              <w:br/>
              <w:t>Máxima</w:t>
            </w:r>
          </w:p>
        </w:tc>
        <w:tc>
          <w:tcPr>
            <w:tcW w:w="843" w:type="dxa"/>
            <w:tcBorders>
              <w:left w:val="single" w:sz="2" w:space="0" w:color="000000"/>
              <w:bottom w:val="single" w:sz="2" w:space="0" w:color="000000"/>
              <w:right w:val="single" w:sz="2" w:space="0" w:color="000000"/>
            </w:tcBorders>
          </w:tcPr>
          <w:p>
            <w:pPr>
              <w:pStyle w:val="Normal"/>
              <w:widowControl w:val="false"/>
              <w:ind w:right="-28" w:hanging="0"/>
              <w:jc w:val="center"/>
              <w:rPr>
                <w:color w:val="000000"/>
              </w:rPr>
            </w:pPr>
            <w:r>
              <w:rPr>
                <w:rFonts w:cs="Arial" w:ascii="Arial" w:hAnsi="Arial"/>
                <w:color w:val="000000"/>
                <w:sz w:val="16"/>
                <w:szCs w:val="16"/>
              </w:rPr>
              <w:t>Quantidade</w:t>
              <w:br/>
              <w:t>Mínima</w:t>
            </w:r>
          </w:p>
        </w:tc>
        <w:tc>
          <w:tcPr>
            <w:tcW w:w="839" w:type="dxa"/>
            <w:tcBorders>
              <w:left w:val="single" w:sz="2" w:space="0" w:color="000000"/>
              <w:bottom w:val="single" w:sz="2" w:space="0" w:color="000000"/>
            </w:tcBorders>
          </w:tcPr>
          <w:p>
            <w:pPr>
              <w:pStyle w:val="Normal"/>
              <w:widowControl w:val="false"/>
              <w:ind w:right="-28" w:hanging="0"/>
              <w:jc w:val="center"/>
              <w:rPr>
                <w:color w:val="000000"/>
              </w:rPr>
            </w:pPr>
            <w:r>
              <w:rPr>
                <w:rFonts w:cs="Arial" w:ascii="Arial" w:hAnsi="Arial"/>
                <w:color w:val="000000"/>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hanging="0"/>
              <w:jc w:val="center"/>
              <w:rPr>
                <w:color w:val="000000"/>
              </w:rPr>
            </w:pPr>
            <w:r>
              <w:rPr>
                <w:rFonts w:cs="Arial" w:ascii="Arial" w:hAnsi="Arial"/>
                <w:color w:val="000000"/>
                <w:sz w:val="16"/>
                <w:szCs w:val="16"/>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000000"/>
                <w:sz w:val="16"/>
                <w:szCs w:val="16"/>
              </w:rPr>
            </w:pPr>
            <w:r>
              <w:rPr>
                <w:rFonts w:cs="Arial" w:ascii="Arial" w:hAnsi="Arial"/>
                <w:color w:val="000000"/>
                <w:sz w:val="16"/>
                <w:szCs w:val="16"/>
              </w:rPr>
            </w:r>
          </w:p>
        </w:tc>
        <w:tc>
          <w:tcPr>
            <w:tcW w:w="1335"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000000"/>
                <w:sz w:val="16"/>
                <w:szCs w:val="16"/>
              </w:rPr>
            </w:pPr>
            <w:r>
              <w:rPr>
                <w:rFonts w:cs="Arial" w:ascii="Arial" w:hAnsi="Arial"/>
                <w:color w:val="000000"/>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000000"/>
                <w:sz w:val="16"/>
                <w:szCs w:val="16"/>
              </w:rPr>
            </w:pPr>
            <w:r>
              <w:rPr>
                <w:rFonts w:cs="Arial" w:ascii="Arial" w:hAnsi="Arial"/>
                <w:color w:val="000000"/>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000000"/>
                <w:sz w:val="16"/>
                <w:szCs w:val="16"/>
              </w:rPr>
            </w:pPr>
            <w:r>
              <w:rPr>
                <w:rFonts w:cs="Arial" w:ascii="Arial" w:hAnsi="Arial"/>
                <w:color w:val="000000"/>
                <w:sz w:val="16"/>
                <w:szCs w:val="16"/>
              </w:rPr>
            </w:r>
          </w:p>
        </w:tc>
        <w:tc>
          <w:tcPr>
            <w:tcW w:w="112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000000"/>
                <w:sz w:val="16"/>
                <w:szCs w:val="16"/>
              </w:rPr>
            </w:pPr>
            <w:r>
              <w:rPr>
                <w:rFonts w:cs="Arial" w:ascii="Arial" w:hAnsi="Arial"/>
                <w:color w:val="000000"/>
                <w:sz w:val="16"/>
                <w:szCs w:val="16"/>
              </w:rPr>
            </w:r>
          </w:p>
        </w:tc>
        <w:tc>
          <w:tcPr>
            <w:tcW w:w="111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000000"/>
                <w:sz w:val="16"/>
                <w:szCs w:val="16"/>
              </w:rPr>
            </w:pPr>
            <w:r>
              <w:rPr>
                <w:rFonts w:cs="Arial" w:ascii="Arial" w:hAnsi="Arial"/>
                <w:color w:val="000000"/>
                <w:sz w:val="16"/>
                <w:szCs w:val="16"/>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color w:val="000000"/>
                <w:sz w:val="16"/>
                <w:szCs w:val="16"/>
              </w:rPr>
            </w:pPr>
            <w:r>
              <w:rPr>
                <w:rFonts w:cs="Arial" w:ascii="Arial" w:hAnsi="Arial"/>
                <w:color w:val="000000"/>
                <w:sz w:val="16"/>
                <w:szCs w:val="16"/>
              </w:rPr>
            </w:r>
          </w:p>
        </w:tc>
        <w:tc>
          <w:tcPr>
            <w:tcW w:w="83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000000"/>
                <w:sz w:val="16"/>
                <w:szCs w:val="16"/>
              </w:rPr>
            </w:pPr>
            <w:r>
              <w:rPr>
                <w:rFonts w:cs="Arial" w:ascii="Arial" w:hAnsi="Arial"/>
                <w:color w:val="000000"/>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color w:val="000000"/>
                <w:sz w:val="16"/>
                <w:szCs w:val="16"/>
              </w:rPr>
            </w:pPr>
            <w:r>
              <w:rPr>
                <w:rFonts w:cs="Arial" w:ascii="Arial" w:hAnsi="Arial"/>
                <w:color w:val="000000"/>
                <w:sz w:val="16"/>
                <w:szCs w:val="16"/>
              </w:rPr>
            </w:r>
          </w:p>
        </w:tc>
      </w:tr>
    </w:tbl>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color w:val="000000"/>
        </w:rPr>
      </w:pPr>
      <w:r>
        <w:rPr>
          <w:rFonts w:cs="Arial" w:ascii="Arial" w:hAnsi="Arial"/>
          <w:color w:val="000000"/>
          <w:sz w:val="20"/>
          <w:szCs w:val="20"/>
        </w:rPr>
        <w:t>Seguindo a ordem de classificação, segue relação de fornecedores que mantiveram sua proposta original:</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hanging="0"/>
              <w:jc w:val="center"/>
              <w:rPr>
                <w:color w:val="000000"/>
              </w:rPr>
            </w:pPr>
            <w:r>
              <w:rPr>
                <w:rFonts w:cs="Arial" w:ascii="Arial" w:hAnsi="Arial"/>
                <w:color w:val="000000"/>
                <w:sz w:val="16"/>
                <w:szCs w:val="16"/>
              </w:rPr>
              <w:t>Item</w:t>
            </w:r>
          </w:p>
          <w:p>
            <w:pPr>
              <w:pStyle w:val="Normal"/>
              <w:widowControl w:val="false"/>
              <w:ind w:right="-28" w:hanging="0"/>
              <w:jc w:val="center"/>
              <w:rPr>
                <w:color w:val="000000"/>
              </w:rPr>
            </w:pPr>
            <w:r>
              <w:rPr>
                <w:rFonts w:cs="Arial" w:ascii="Arial" w:hAnsi="Arial"/>
                <w:color w:val="000000"/>
                <w:sz w:val="16"/>
                <w:szCs w:val="16"/>
              </w:rPr>
              <w:t>do</w:t>
            </w:r>
          </w:p>
          <w:p>
            <w:pPr>
              <w:pStyle w:val="Normal"/>
              <w:widowControl w:val="false"/>
              <w:ind w:right="-28" w:hanging="0"/>
              <w:jc w:val="center"/>
              <w:rPr>
                <w:color w:val="000000"/>
              </w:rPr>
            </w:pPr>
            <w:r>
              <w:rPr>
                <w:rFonts w:cs="Arial" w:ascii="Arial" w:hAnsi="Arial"/>
                <w:color w:val="000000"/>
                <w:sz w:val="16"/>
                <w:szCs w:val="16"/>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hanging="0"/>
              <w:jc w:val="center"/>
              <w:rPr>
                <w:color w:val="000000"/>
              </w:rPr>
            </w:pPr>
            <w:r>
              <w:rPr>
                <w:rFonts w:cs="Arial" w:ascii="Arial" w:hAnsi="Arial"/>
                <w:color w:val="000000"/>
                <w:sz w:val="16"/>
                <w:szCs w:val="16"/>
              </w:rPr>
              <w:t xml:space="preserve">Fornecedor </w:t>
            </w:r>
            <w:r>
              <w:rPr>
                <w:rFonts w:cs="Arial" w:ascii="Arial" w:hAnsi="Arial"/>
                <w:i/>
                <w:color w:val="000000"/>
                <w:sz w:val="16"/>
                <w:szCs w:val="16"/>
              </w:rPr>
              <w:t>[razão social, CNPJ/MF, endereço, contatos, representante]</w:t>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ind w:right="-28" w:hanging="0"/>
              <w:jc w:val="center"/>
              <w:rPr>
                <w:color w:val="000000"/>
              </w:rPr>
            </w:pPr>
            <w:r>
              <w:rPr>
                <w:rFonts w:cs="Arial" w:ascii="Arial" w:hAnsi="Arial"/>
                <w:color w:val="000000"/>
                <w:sz w:val="16"/>
                <w:szCs w:val="16"/>
              </w:rPr>
              <w:t>X</w:t>
            </w:r>
          </w:p>
        </w:tc>
        <w:tc>
          <w:tcPr>
            <w:tcW w:w="1335" w:type="dxa"/>
            <w:tcBorders>
              <w:left w:val="single" w:sz="2" w:space="0" w:color="000000"/>
              <w:bottom w:val="single" w:sz="2" w:space="0" w:color="000000"/>
            </w:tcBorders>
          </w:tcPr>
          <w:p>
            <w:pPr>
              <w:pStyle w:val="Normal"/>
              <w:widowControl w:val="false"/>
              <w:ind w:right="-28" w:hanging="0"/>
              <w:jc w:val="center"/>
              <w:rPr>
                <w:color w:val="000000"/>
              </w:rPr>
            </w:pPr>
            <w:r>
              <w:rPr>
                <w:rFonts w:cs="Arial" w:ascii="Arial" w:hAnsi="Arial"/>
                <w:color w:val="000000"/>
                <w:sz w:val="16"/>
                <w:szCs w:val="16"/>
              </w:rPr>
              <w:t>Especificação</w:t>
            </w:r>
          </w:p>
        </w:tc>
        <w:tc>
          <w:tcPr>
            <w:tcW w:w="1254" w:type="dxa"/>
            <w:tcBorders>
              <w:left w:val="single" w:sz="2" w:space="0" w:color="000000"/>
              <w:bottom w:val="single" w:sz="2" w:space="0" w:color="000000"/>
            </w:tcBorders>
          </w:tcPr>
          <w:p>
            <w:pPr>
              <w:pStyle w:val="Normal"/>
              <w:widowControl w:val="false"/>
              <w:ind w:right="-28" w:hanging="0"/>
              <w:jc w:val="center"/>
              <w:rPr>
                <w:color w:val="000000"/>
              </w:rPr>
            </w:pPr>
            <w:r>
              <w:rPr>
                <w:rFonts w:cs="Arial" w:ascii="Arial" w:hAnsi="Arial"/>
                <w:color w:val="000000"/>
                <w:sz w:val="16"/>
                <w:szCs w:val="16"/>
              </w:rPr>
              <w:t xml:space="preserve">Marca </w:t>
            </w:r>
          </w:p>
          <w:p>
            <w:pPr>
              <w:pStyle w:val="Normal"/>
              <w:widowControl w:val="false"/>
              <w:ind w:right="-28" w:hanging="0"/>
              <w:jc w:val="center"/>
              <w:rPr>
                <w:color w:val="000000"/>
              </w:rPr>
            </w:pPr>
            <w:r>
              <w:rPr>
                <w:rFonts w:cs="Arial" w:ascii="Arial" w:hAnsi="Arial"/>
                <w:i/>
                <w:iCs/>
                <w:color w:val="00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hanging="0"/>
              <w:jc w:val="center"/>
              <w:rPr>
                <w:color w:val="000000"/>
              </w:rPr>
            </w:pPr>
            <w:r>
              <w:rPr>
                <w:rFonts w:cs="Arial" w:ascii="Arial" w:hAnsi="Arial"/>
                <w:color w:val="000000"/>
                <w:sz w:val="16"/>
                <w:szCs w:val="16"/>
              </w:rPr>
              <w:t>Modelo</w:t>
            </w:r>
          </w:p>
          <w:p>
            <w:pPr>
              <w:pStyle w:val="Normal"/>
              <w:widowControl w:val="false"/>
              <w:ind w:right="-28" w:hanging="0"/>
              <w:jc w:val="center"/>
              <w:rPr>
                <w:color w:val="000000"/>
              </w:rPr>
            </w:pPr>
            <w:r>
              <w:rPr>
                <w:rFonts w:cs="Arial" w:ascii="Arial" w:hAnsi="Arial"/>
                <w:i/>
                <w:iCs/>
                <w:color w:val="000000"/>
                <w:sz w:val="16"/>
                <w:szCs w:val="16"/>
              </w:rPr>
              <w:t>(se exigido no edital)</w:t>
            </w:r>
          </w:p>
        </w:tc>
        <w:tc>
          <w:tcPr>
            <w:tcW w:w="1123" w:type="dxa"/>
            <w:tcBorders>
              <w:left w:val="single" w:sz="2" w:space="0" w:color="000000"/>
              <w:bottom w:val="single" w:sz="2" w:space="0" w:color="000000"/>
            </w:tcBorders>
          </w:tcPr>
          <w:p>
            <w:pPr>
              <w:pStyle w:val="Normal"/>
              <w:widowControl w:val="false"/>
              <w:ind w:right="-28" w:hanging="0"/>
              <w:jc w:val="center"/>
              <w:rPr>
                <w:color w:val="000000"/>
              </w:rPr>
            </w:pPr>
            <w:r>
              <w:rPr>
                <w:rFonts w:cs="Arial" w:ascii="Arial" w:hAnsi="Arial"/>
                <w:color w:val="000000"/>
                <w:sz w:val="16"/>
                <w:szCs w:val="16"/>
              </w:rPr>
              <w:t>Unidade</w:t>
            </w:r>
          </w:p>
        </w:tc>
        <w:tc>
          <w:tcPr>
            <w:tcW w:w="1119" w:type="dxa"/>
            <w:tcBorders>
              <w:left w:val="single" w:sz="2" w:space="0" w:color="000000"/>
              <w:bottom w:val="single" w:sz="2" w:space="0" w:color="000000"/>
            </w:tcBorders>
          </w:tcPr>
          <w:p>
            <w:pPr>
              <w:pStyle w:val="Normal"/>
              <w:widowControl w:val="false"/>
              <w:ind w:right="-28" w:hanging="0"/>
              <w:jc w:val="center"/>
              <w:rPr>
                <w:color w:val="000000"/>
              </w:rPr>
            </w:pPr>
            <w:r>
              <w:rPr>
                <w:rFonts w:cs="Arial" w:ascii="Arial" w:hAnsi="Arial"/>
                <w:color w:val="000000"/>
                <w:sz w:val="16"/>
                <w:szCs w:val="16"/>
              </w:rPr>
              <w:t>Quantidade</w:t>
              <w:br/>
              <w:t>Máxima</w:t>
            </w:r>
          </w:p>
        </w:tc>
        <w:tc>
          <w:tcPr>
            <w:tcW w:w="843" w:type="dxa"/>
            <w:tcBorders>
              <w:left w:val="single" w:sz="2" w:space="0" w:color="000000"/>
              <w:bottom w:val="single" w:sz="2" w:space="0" w:color="000000"/>
              <w:right w:val="single" w:sz="2" w:space="0" w:color="000000"/>
            </w:tcBorders>
          </w:tcPr>
          <w:p>
            <w:pPr>
              <w:pStyle w:val="Normal"/>
              <w:widowControl w:val="false"/>
              <w:ind w:right="-28" w:hanging="0"/>
              <w:jc w:val="center"/>
              <w:rPr>
                <w:color w:val="000000"/>
              </w:rPr>
            </w:pPr>
            <w:r>
              <w:rPr>
                <w:rFonts w:cs="Arial" w:ascii="Arial" w:hAnsi="Arial"/>
                <w:color w:val="000000"/>
                <w:sz w:val="16"/>
                <w:szCs w:val="16"/>
              </w:rPr>
              <w:t>Quantidade</w:t>
              <w:br/>
              <w:t>Mínima</w:t>
            </w:r>
          </w:p>
        </w:tc>
        <w:tc>
          <w:tcPr>
            <w:tcW w:w="839" w:type="dxa"/>
            <w:tcBorders>
              <w:left w:val="single" w:sz="2" w:space="0" w:color="000000"/>
              <w:bottom w:val="single" w:sz="2" w:space="0" w:color="000000"/>
            </w:tcBorders>
          </w:tcPr>
          <w:p>
            <w:pPr>
              <w:pStyle w:val="Normal"/>
              <w:widowControl w:val="false"/>
              <w:ind w:right="-28" w:hanging="0"/>
              <w:jc w:val="center"/>
              <w:rPr>
                <w:color w:val="000000"/>
              </w:rPr>
            </w:pPr>
            <w:r>
              <w:rPr>
                <w:rFonts w:cs="Arial" w:ascii="Arial" w:hAnsi="Arial"/>
                <w:color w:val="000000"/>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hanging="0"/>
              <w:jc w:val="center"/>
              <w:rPr>
                <w:color w:val="000000"/>
              </w:rPr>
            </w:pPr>
            <w:r>
              <w:rPr>
                <w:rFonts w:cs="Arial" w:ascii="Arial" w:hAnsi="Arial"/>
                <w:color w:val="000000"/>
                <w:sz w:val="16"/>
                <w:szCs w:val="16"/>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000000"/>
                <w:sz w:val="16"/>
                <w:szCs w:val="16"/>
              </w:rPr>
            </w:pPr>
            <w:r>
              <w:rPr>
                <w:rFonts w:cs="Arial" w:ascii="Arial" w:hAnsi="Arial"/>
                <w:color w:val="000000"/>
                <w:sz w:val="16"/>
                <w:szCs w:val="16"/>
              </w:rPr>
            </w:r>
          </w:p>
        </w:tc>
        <w:tc>
          <w:tcPr>
            <w:tcW w:w="1335"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000000"/>
                <w:sz w:val="16"/>
                <w:szCs w:val="16"/>
              </w:rPr>
            </w:pPr>
            <w:r>
              <w:rPr>
                <w:rFonts w:cs="Arial" w:ascii="Arial" w:hAnsi="Arial"/>
                <w:color w:val="000000"/>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000000"/>
                <w:sz w:val="16"/>
                <w:szCs w:val="16"/>
              </w:rPr>
            </w:pPr>
            <w:r>
              <w:rPr>
                <w:rFonts w:cs="Arial" w:ascii="Arial" w:hAnsi="Arial"/>
                <w:color w:val="000000"/>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000000"/>
                <w:sz w:val="16"/>
                <w:szCs w:val="16"/>
              </w:rPr>
            </w:pPr>
            <w:r>
              <w:rPr>
                <w:rFonts w:cs="Arial" w:ascii="Arial" w:hAnsi="Arial"/>
                <w:color w:val="000000"/>
                <w:sz w:val="16"/>
                <w:szCs w:val="16"/>
              </w:rPr>
            </w:r>
          </w:p>
        </w:tc>
        <w:tc>
          <w:tcPr>
            <w:tcW w:w="112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000000"/>
                <w:sz w:val="16"/>
                <w:szCs w:val="16"/>
              </w:rPr>
            </w:pPr>
            <w:r>
              <w:rPr>
                <w:rFonts w:cs="Arial" w:ascii="Arial" w:hAnsi="Arial"/>
                <w:color w:val="000000"/>
                <w:sz w:val="16"/>
                <w:szCs w:val="16"/>
              </w:rPr>
            </w:r>
          </w:p>
        </w:tc>
        <w:tc>
          <w:tcPr>
            <w:tcW w:w="111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000000"/>
                <w:sz w:val="16"/>
                <w:szCs w:val="16"/>
              </w:rPr>
            </w:pPr>
            <w:r>
              <w:rPr>
                <w:rFonts w:cs="Arial" w:ascii="Arial" w:hAnsi="Arial"/>
                <w:color w:val="000000"/>
                <w:sz w:val="16"/>
                <w:szCs w:val="16"/>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color w:val="000000"/>
                <w:sz w:val="16"/>
                <w:szCs w:val="16"/>
              </w:rPr>
            </w:pPr>
            <w:r>
              <w:rPr>
                <w:rFonts w:cs="Arial" w:ascii="Arial" w:hAnsi="Arial"/>
                <w:color w:val="000000"/>
                <w:sz w:val="16"/>
                <w:szCs w:val="16"/>
              </w:rPr>
            </w:r>
          </w:p>
        </w:tc>
        <w:tc>
          <w:tcPr>
            <w:tcW w:w="83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000000"/>
                <w:sz w:val="16"/>
                <w:szCs w:val="16"/>
              </w:rPr>
            </w:pPr>
            <w:r>
              <w:rPr>
                <w:rFonts w:cs="Arial" w:ascii="Arial" w:hAnsi="Arial"/>
                <w:color w:val="000000"/>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color w:val="000000"/>
                <w:sz w:val="16"/>
                <w:szCs w:val="16"/>
              </w:rPr>
            </w:pPr>
            <w:r>
              <w:rPr>
                <w:rFonts w:cs="Arial" w:ascii="Arial" w:hAnsi="Arial"/>
                <w:color w:val="000000"/>
                <w:sz w:val="16"/>
                <w:szCs w:val="16"/>
              </w:rPr>
            </w:r>
          </w:p>
        </w:tc>
      </w:tr>
    </w:tbl>
    <w:p>
      <w:pPr>
        <w:pStyle w:val="Normal"/>
        <w:widowControl w:val="false"/>
        <w:spacing w:lineRule="auto" w:line="360"/>
        <w:ind w:right="-30" w:hanging="0"/>
        <w:jc w:val="center"/>
        <w:rPr>
          <w:color w:val="000000"/>
        </w:rPr>
      </w:pPr>
      <w:r>
        <w:rPr>
          <w:color w:val="000000"/>
        </w:rPr>
      </w:r>
    </w:p>
    <w:sectPr>
      <w:footerReference w:type="default" r:id="rId2"/>
      <w:type w:val="nextPage"/>
      <w:pgSz w:w="11906" w:h="16838"/>
      <w:pgMar w:left="1701" w:right="1134" w:gutter="0" w:header="0" w:top="1418" w:footer="708"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Google Sans">
    <w:altName w:val="Arial"/>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color w:val="8496B0"/>
        <w:spacing w:val="60"/>
        <w:sz w:val="16"/>
        <w:szCs w:val="16"/>
      </w:rPr>
    </w:pPr>
    <w:r>
      <w:rPr>
        <w:color w:val="8496B0"/>
        <w:spacing w:val="60"/>
      </w:rPr>
      <w:tab/>
      <w:tab/>
    </w:r>
  </w:p>
  <w:p>
    <w:pPr>
      <w:pStyle w:val="Rodap"/>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17</w:t>
    </w:r>
    <w:r>
      <w:rPr>
        <w:sz w:val="18"/>
        <w:szCs w:val="18"/>
        <w:rFonts w:cs="Arial" w:ascii="Arial" w:hAnsi="Arial"/>
        <w:color w:val="595959"/>
      </w:rPr>
      <w:fldChar w:fldCharType="end"/>
    </w:r>
  </w:p>
  <w:p>
    <w:pPr>
      <w:pStyle w:val="Rodap"/>
      <w:rPr>
        <w:rFonts w:ascii="Arial" w:hAnsi="Arial"/>
        <w:sz w:val="14"/>
      </w:rPr>
    </w:pPr>
    <w:r>
      <w:rPr>
        <w:rFonts w:ascii="Arial" w:hAnsi="Arial"/>
        <w:sz w:val="14"/>
      </w:rPr>
      <w:t>Câmara Nacional de Modelos de Licitações e Contratos da Consultoria-Geral da União</w:t>
    </w:r>
  </w:p>
  <w:p>
    <w:pPr>
      <w:pStyle w:val="Rodap"/>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Rodap"/>
      <w:rPr>
        <w:rFonts w:ascii="Arial" w:hAnsi="Arial"/>
        <w:sz w:val="14"/>
      </w:rPr>
    </w:pPr>
    <w:r>
      <w:rPr>
        <w:rFonts w:ascii="Arial" w:hAnsi="Arial"/>
        <w:sz w:val="14"/>
      </w:rPr>
      <w:t>Aprovado pela Secretaria de Gestão e Inovação</w:t>
    </w:r>
  </w:p>
  <w:p>
    <w:pPr>
      <w:pStyle w:val="Rodap"/>
      <w:rPr>
        <w:rFonts w:ascii="Arial" w:hAnsi="Arial"/>
        <w:sz w:val="14"/>
      </w:rPr>
    </w:pPr>
    <w:r>
      <w:rPr>
        <w:rFonts w:ascii="Arial" w:hAnsi="Arial"/>
        <w:sz w:val="14"/>
      </w:rPr>
      <w:t>Identidade visual pela Secretaria de Gestão e Inovação</w:t>
    </w:r>
  </w:p>
  <w:p>
    <w:pPr>
      <w:pStyle w:val="Rodap"/>
      <w:rPr>
        <w:rFonts w:ascii="Arial" w:hAnsi="Arial"/>
        <w:sz w:val="14"/>
      </w:rPr>
    </w:pPr>
    <w:r>
      <w:rPr>
        <w:rFonts w:cs="Arial" w:ascii="Arial" w:hAnsi="Arial"/>
        <w:sz w:val="14"/>
        <w:szCs w:val="14"/>
      </w:rPr>
      <w:t>Atualização: NOV/2025</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574" w:hanging="432"/>
      </w:pPr>
      <w:rPr>
        <w:sz w:val="20"/>
        <w:szCs w:val="20"/>
        <w:color w:val="000000"/>
      </w:rPr>
    </w:lvl>
    <w:lvl w:ilvl="2">
      <w:start w:val="1"/>
      <w:numFmt w:val="decimal"/>
      <w:lvlText w:val="%1.%2.%3."/>
      <w:lvlJc w:val="left"/>
      <w:pPr>
        <w:tabs>
          <w:tab w:val="num" w:pos="0"/>
        </w:tabs>
        <w:ind w:left="1497" w:hanging="504"/>
      </w:pPr>
      <w:rPr>
        <w:color w:val="000000"/>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1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tulo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LinkdaInternet">
    <w:name w:val="Hyperlink"/>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val="000000" w:themeColor="text1"/>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val="365F91" w:themeColor="accent1" w:themeShade="bf"/>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val="365F91" w:themeColor="accent1" w:themeShade="bf"/>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Annotationtext"/>
    <w:qFormat/>
    <w:rsid w:val="006a7a1a"/>
    <w:rPr>
      <w:rFonts w:ascii="Ecofont_Spranq_eco_Sans" w:hAnsi="Ecofont_Spranq_eco_Sans" w:cs="Tahoma"/>
    </w:rPr>
  </w:style>
  <w:style w:type="character" w:styleId="AssuntodocomentrioChar" w:customStyle="1">
    <w:name w:val="Assunto do comentário Char"/>
    <w:basedOn w:val="TextodecomentrioChar"/>
    <w:link w:val="Annotationsubject"/>
    <w:semiHidden/>
    <w:qFormat/>
    <w:rsid w:val="006a7a1a"/>
    <w:rPr>
      <w:rFonts w:ascii="Ecofont_Spranq_eco_Sans" w:hAnsi="Ecofont_Spranq_eco_Sans" w:cs="Tahoma"/>
      <w:b/>
      <w:bCs/>
    </w:rPr>
  </w:style>
  <w:style w:type="character" w:styleId="TextodebaloChar" w:customStyle="1">
    <w:name w:val="Texto de balão Char"/>
    <w:basedOn w:val="DefaultParagraphFont"/>
    <w:link w:val="BalloonTex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character" w:styleId="Strong">
    <w:name w:val="Strong"/>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nhideWhenUsed/>
    <w:rsid w:val="00bb5309"/>
    <w:pPr>
      <w:tabs>
        <w:tab w:val="clear" w:pos="708"/>
        <w:tab w:val="center" w:pos="4252" w:leader="none"/>
        <w:tab w:val="right" w:pos="8504" w:leader="none"/>
      </w:tabs>
    </w:pPr>
    <w:rPr/>
  </w:style>
  <w:style w:type="paragraph" w:styleId="Rodap">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val="000000" w:themeColor="text1"/>
    </w:rPr>
  </w:style>
  <w:style w:type="paragraph" w:styleId="Nivel1" w:customStyle="1">
    <w:name w:val="Nivel1"/>
    <w:basedOn w:val="Ttulo1"/>
    <w:next w:val="Normal"/>
    <w:link w:val="Nivel1Char"/>
    <w:qFormat/>
    <w:rsid w:val="006362ae"/>
    <w:pPr>
      <w:widowControl w:val="false"/>
      <w:spacing w:lineRule="auto" w:line="276" w:before="480" w:after="120"/>
      <w:ind w:left="360" w:hanging="360"/>
      <w:jc w:val="both"/>
    </w:pPr>
    <w:rPr>
      <w:rFonts w:ascii="Arial" w:hAnsi="Arial" w:cs="Arial"/>
      <w:color w:val="auto"/>
      <w:sz w:val="20"/>
      <w:szCs w:val="20"/>
    </w:rPr>
  </w:style>
  <w:style w:type="paragraph" w:styleId="Nivel01" w:customStyle="1">
    <w:name w:val="Nivel 01"/>
    <w:basedOn w:val="Ttulo1"/>
    <w:next w:val="Normal"/>
    <w:link w:val="Nivel01Char"/>
    <w:qFormat/>
    <w:rsid w:val="00636001"/>
    <w:pPr>
      <w:numPr>
        <w:ilvl w:val="0"/>
        <w:numId w:val="1"/>
      </w:numPr>
      <w:tabs>
        <w:tab w:val="clear" w:pos="708"/>
        <w:tab w:val="left" w:pos="567" w:leader="none"/>
      </w:tabs>
      <w:spacing w:lineRule="auto" w:line="276" w:before="120" w:after="120"/>
      <w:ind w:left="0" w:hanging="0"/>
      <w:jc w:val="both"/>
    </w:pPr>
    <w:rPr>
      <w:rFonts w:ascii="Arial" w:hAnsi="Arial" w:cs="Arial"/>
      <w:color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link w:val="Nivel2Char"/>
    <w:qFormat/>
    <w:rsid w:val="00d8054f"/>
    <w:pPr>
      <w:numPr>
        <w:ilvl w:val="1"/>
        <w:numId w:val="1"/>
      </w:numPr>
      <w:spacing w:lineRule="auto" w:line="276" w:before="120" w:after="120"/>
      <w:ind w:left="0" w:hanging="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hanging="0"/>
      <w:contextualSpacing w:val="false"/>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2"/>
        <w:numId w:val="1"/>
      </w:numPr>
      <w:spacing w:lineRule="auto" w:line="276" w:before="120" w:after="120"/>
      <w:ind w:left="284" w:hanging="0"/>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left="567" w:hanging="0"/>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8761</TotalTime>
  <Application>LibreOffice/7.4.2.3$Windows_X86_64 LibreOffice_project/382eef1f22670f7f4118c8c2dd222ec7ad009daf</Application>
  <AppVersion>15.0000</AppVersion>
  <Pages>17</Pages>
  <Words>5139</Words>
  <Characters>28201</Characters>
  <CharactersWithSpaces>32356</CharactersWithSpaces>
  <Paragraphs>1020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2025-11-18T13:38:00Z</dcterms:created>
  <dc:creator/>
  <dc:description/>
  <dc:language>pt-BR</dc:language>
  <cp:lastModifiedBy/>
  <dcterms:modified xsi:type="dcterms:W3CDTF">2026-03-12T10:25:09Z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